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ascii="宋体" w:hAnsi="宋体" w:eastAsia="宋体" w:cs="宋体"/>
          <w:b/>
          <w:color w:val="000000" w:themeColor="text1"/>
        </w:rPr>
      </w:pPr>
      <w:r>
        <w:rPr>
          <w:rFonts w:hint="eastAsia" w:ascii="宋体" w:hAnsi="宋体" w:eastAsia="宋体" w:cs="宋体"/>
          <w:b/>
          <w:color w:val="000000" w:themeColor="text1"/>
        </w:rPr>
        <w:t>附件2：预警发布数据精细服务系统（V3.0）--预警发布数据集约能力分系统、“链上预警”数据区块链应用服务分系统、嵌入式应用公共组件服务分系统和预警发布评估与反馈服务分系统</w:t>
      </w:r>
      <w:r>
        <w:rPr>
          <w:rFonts w:hint="eastAsia" w:ascii="宋体" w:hAnsi="宋体" w:eastAsia="宋体" w:cs="宋体"/>
          <w:b/>
          <w:color w:val="000000" w:themeColor="text1"/>
          <w:lang w:val="en-US" w:eastAsia="zh-CN"/>
        </w:rPr>
        <w:t>初步</w:t>
      </w:r>
      <w:r>
        <w:rPr>
          <w:rFonts w:hint="eastAsia" w:ascii="宋体" w:hAnsi="宋体" w:eastAsia="宋体" w:cs="宋体"/>
          <w:b/>
          <w:color w:val="000000" w:themeColor="text1"/>
        </w:rPr>
        <w:t>采购需求</w:t>
      </w:r>
    </w:p>
    <w:p>
      <w:pPr>
        <w:ind w:firstLine="31680"/>
        <w:rPr>
          <w:rFonts w:hint="eastAsia" w:ascii="宋体" w:hAnsi="宋体" w:eastAsia="宋体" w:cs="宋体"/>
          <w:b/>
          <w:color w:val="000000" w:themeColor="text1"/>
        </w:rPr>
      </w:pPr>
      <w:r>
        <w:rPr>
          <w:rFonts w:hint="eastAsia" w:ascii="宋体" w:hAnsi="宋体" w:eastAsia="宋体" w:cs="宋体"/>
          <w:b/>
          <w:color w:val="000000" w:themeColor="text1"/>
        </w:rPr>
        <w:t>（一）项目概况</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rPr>
        <w:t xml:space="preserve"> </w:t>
      </w:r>
      <w:r>
        <w:rPr>
          <w:rFonts w:hint="eastAsia" w:ascii="宋体" w:hAnsi="宋体" w:eastAsia="宋体" w:cs="宋体"/>
          <w:color w:val="000000" w:themeColor="text1"/>
          <w:u w:val="single"/>
        </w:rPr>
        <w:t>福建省智慧气象保障工程综合能力建设项目预警发布数据精细服务系统(V3.0)通过组织实施预警发布数据集约能力分系统、“链上预警”数据区块链应用服务分系统、嵌入式应用公共组件服务分系统和预警发布评估与反馈服务分系统建设，项目建设目标是：</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u w:val="single"/>
        </w:rPr>
        <w:t>（一）符合“数字气象”集约化业务发展方向，建成涵盖预警信息、传播渠道、现场信息、防灾减灾基础数据、科普宣教数据、前置数据、基础数据的规范化信息资源数据库及管理体系，提升多部门、多灾种、多源数据规划建设和数据集约管理能力。</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u w:val="single"/>
        </w:rPr>
        <w:t>（二）符合福建预警发布数据全流程可溯源安全发展方向，建成预警信息发布全流程可追溯的区块链应用管理，发挥“数字福建”区块链集约建设、个性化应用成效，增强预警发布数据安全性、不可抵赖性。</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u w:val="single"/>
        </w:rPr>
        <w:t>（三）符合“预警信息发布要到村到户到人”的预警信息数据共享服务发展方向，建成适配多终端、多系统、多用户、多插件的“非专业性”嵌入式应用，提高预警信息再传播一站式服务水平。</w:t>
      </w:r>
    </w:p>
    <w:p>
      <w:pPr>
        <w:ind w:firstLine="31680"/>
        <w:rPr>
          <w:rFonts w:hint="eastAsia" w:ascii="宋体" w:hAnsi="宋体" w:eastAsia="宋体" w:cs="宋体"/>
          <w:color w:val="000000" w:themeColor="text1"/>
        </w:rPr>
      </w:pPr>
      <w:r>
        <w:rPr>
          <w:rFonts w:hint="eastAsia" w:ascii="宋体" w:hAnsi="宋体" w:eastAsia="宋体" w:cs="宋体"/>
          <w:color w:val="000000" w:themeColor="text1"/>
          <w:u w:val="single"/>
        </w:rPr>
        <w:t>（四）符合预警发布快速、精准、高效、共享的预警精细服务发展方向，建成预警发布工作的数据精细服务能力评估与数字预警精准智能传播渠道时效性、覆盖面评估，并反馈完善各环节，强化预警发布系统用户服务、信息反馈、效果评估和传播数据分析能力。</w:t>
      </w:r>
    </w:p>
    <w:p>
      <w:pPr>
        <w:ind w:firstLine="31680"/>
        <w:rPr>
          <w:rFonts w:hint="eastAsia" w:ascii="宋体" w:hAnsi="宋体" w:eastAsia="宋体" w:cs="宋体"/>
          <w:b/>
          <w:color w:val="000000" w:themeColor="text1"/>
        </w:rPr>
      </w:pPr>
    </w:p>
    <w:p>
      <w:pPr>
        <w:ind w:firstLine="31680"/>
        <w:rPr>
          <w:rFonts w:hint="eastAsia" w:ascii="宋体" w:hAnsi="宋体" w:eastAsia="宋体" w:cs="宋体"/>
          <w:b/>
          <w:color w:val="000000" w:themeColor="text1"/>
        </w:rPr>
      </w:pPr>
      <w:r>
        <w:rPr>
          <w:rFonts w:hint="eastAsia" w:ascii="宋体" w:hAnsi="宋体" w:eastAsia="宋体" w:cs="宋体"/>
          <w:b/>
          <w:color w:val="000000" w:themeColor="text1"/>
        </w:rPr>
        <w:t>（二）采购项目预（概）算</w:t>
      </w:r>
    </w:p>
    <w:p>
      <w:pPr>
        <w:ind w:firstLine="31680"/>
        <w:rPr>
          <w:rFonts w:hint="eastAsia" w:ascii="宋体" w:hAnsi="宋体" w:eastAsia="宋体" w:cs="宋体"/>
          <w:color w:val="000000" w:themeColor="text1"/>
        </w:rPr>
      </w:pPr>
      <w:r>
        <w:rPr>
          <w:rFonts w:hint="eastAsia" w:ascii="宋体" w:hAnsi="宋体" w:eastAsia="宋体" w:cs="宋体"/>
          <w:color w:val="000000" w:themeColor="text1"/>
        </w:rPr>
        <w:t>总 预 算：</w:t>
      </w:r>
      <w:r>
        <w:rPr>
          <w:rFonts w:hint="eastAsia" w:ascii="宋体" w:hAnsi="宋体" w:eastAsia="宋体" w:cs="宋体"/>
          <w:color w:val="000000" w:themeColor="text1"/>
          <w:u w:val="single"/>
        </w:rPr>
        <w:t xml:space="preserve">   412.8000万  </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rPr>
        <w:t>包1预算：</w:t>
      </w:r>
      <w:r>
        <w:rPr>
          <w:rFonts w:hint="eastAsia" w:ascii="宋体" w:hAnsi="宋体" w:eastAsia="宋体" w:cs="宋体"/>
          <w:color w:val="000000" w:themeColor="text1"/>
          <w:u w:val="single"/>
        </w:rPr>
        <w:t xml:space="preserve">   292</w:t>
      </w:r>
      <w:r>
        <w:rPr>
          <w:rFonts w:hint="eastAsia" w:ascii="宋体" w:hAnsi="宋体" w:eastAsia="宋体" w:cs="宋体"/>
          <w:color w:val="000000" w:themeColor="text1"/>
          <w:u w:val="single"/>
          <w:lang w:val="en-US" w:eastAsia="zh-CN"/>
        </w:rPr>
        <w:t>.</w:t>
      </w:r>
      <w:r>
        <w:rPr>
          <w:rFonts w:hint="eastAsia" w:ascii="宋体" w:hAnsi="宋体" w:eastAsia="宋体" w:cs="宋体"/>
          <w:color w:val="000000" w:themeColor="text1"/>
          <w:u w:val="single"/>
        </w:rPr>
        <w:t xml:space="preserve">8000万  </w:t>
      </w:r>
    </w:p>
    <w:p>
      <w:pPr>
        <w:ind w:firstLine="31680"/>
        <w:rPr>
          <w:rFonts w:hint="eastAsia" w:ascii="宋体" w:hAnsi="宋体" w:eastAsia="宋体" w:cs="宋体"/>
          <w:color w:val="000000" w:themeColor="text1"/>
          <w:u w:val="single"/>
        </w:rPr>
      </w:pPr>
      <w:r>
        <w:rPr>
          <w:rFonts w:hint="eastAsia" w:ascii="宋体" w:hAnsi="宋体" w:eastAsia="宋体" w:cs="宋体"/>
          <w:color w:val="000000" w:themeColor="text1"/>
        </w:rPr>
        <w:t>包2预算：</w:t>
      </w:r>
      <w:r>
        <w:rPr>
          <w:rFonts w:hint="eastAsia" w:ascii="宋体" w:hAnsi="宋体" w:eastAsia="宋体" w:cs="宋体"/>
          <w:color w:val="000000" w:themeColor="text1"/>
          <w:u w:val="single"/>
        </w:rPr>
        <w:t xml:space="preserve">   120.00</w:t>
      </w:r>
      <w:r>
        <w:rPr>
          <w:rFonts w:hint="eastAsia" w:ascii="宋体" w:hAnsi="宋体" w:eastAsia="宋体" w:cs="宋体"/>
          <w:color w:val="000000" w:themeColor="text1"/>
          <w:u w:val="single"/>
          <w:lang w:val="en-US" w:eastAsia="zh-CN"/>
        </w:rPr>
        <w:t>00</w:t>
      </w:r>
      <w:r>
        <w:rPr>
          <w:rFonts w:hint="eastAsia" w:ascii="宋体" w:hAnsi="宋体" w:eastAsia="宋体" w:cs="宋体"/>
          <w:color w:val="000000" w:themeColor="text1"/>
          <w:u w:val="single"/>
        </w:rPr>
        <w:t xml:space="preserve">万  </w:t>
      </w:r>
    </w:p>
    <w:p>
      <w:pPr>
        <w:ind w:firstLine="31680"/>
        <w:rPr>
          <w:rFonts w:hint="eastAsia" w:ascii="宋体" w:hAnsi="宋体" w:eastAsia="宋体" w:cs="宋体"/>
          <w:b/>
          <w:color w:val="000000" w:themeColor="text1"/>
        </w:rPr>
      </w:pPr>
    </w:p>
    <w:p>
      <w:pPr>
        <w:ind w:firstLine="31680"/>
        <w:rPr>
          <w:rFonts w:hint="eastAsia" w:ascii="宋体" w:hAnsi="宋体" w:eastAsia="宋体" w:cs="宋体"/>
          <w:b/>
          <w:color w:val="000000" w:themeColor="text1"/>
        </w:rPr>
      </w:pPr>
      <w:r>
        <w:rPr>
          <w:rFonts w:hint="eastAsia" w:ascii="宋体" w:hAnsi="宋体" w:eastAsia="宋体" w:cs="宋体"/>
          <w:b/>
          <w:color w:val="000000" w:themeColor="text1"/>
        </w:rPr>
        <w:t>（三）采购标的汇总表</w:t>
      </w:r>
    </w:p>
    <w:tbl>
      <w:tblPr>
        <w:tblStyle w:val="18"/>
        <w:tblW w:w="98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567"/>
        <w:gridCol w:w="3220"/>
        <w:gridCol w:w="1546"/>
        <w:gridCol w:w="707"/>
        <w:gridCol w:w="636"/>
        <w:gridCol w:w="816"/>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9" w:hRule="atLeast"/>
          <w:jc w:val="center"/>
        </w:trPr>
        <w:tc>
          <w:tcPr>
            <w:tcW w:w="545"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包号</w:t>
            </w:r>
          </w:p>
        </w:tc>
        <w:tc>
          <w:tcPr>
            <w:tcW w:w="56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序号</w:t>
            </w:r>
          </w:p>
        </w:tc>
        <w:tc>
          <w:tcPr>
            <w:tcW w:w="3220"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标的名称</w:t>
            </w:r>
          </w:p>
        </w:tc>
        <w:tc>
          <w:tcPr>
            <w:tcW w:w="154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品目分类编码</w:t>
            </w:r>
          </w:p>
        </w:tc>
        <w:tc>
          <w:tcPr>
            <w:tcW w:w="70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计量单位</w:t>
            </w:r>
          </w:p>
        </w:tc>
        <w:tc>
          <w:tcPr>
            <w:tcW w:w="63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数量</w:t>
            </w:r>
          </w:p>
        </w:tc>
        <w:tc>
          <w:tcPr>
            <w:tcW w:w="81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是否进口</w:t>
            </w:r>
          </w:p>
        </w:tc>
        <w:tc>
          <w:tcPr>
            <w:tcW w:w="183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最高限价（万元）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jc w:val="center"/>
        </w:trPr>
        <w:tc>
          <w:tcPr>
            <w:tcW w:w="545" w:type="dxa"/>
            <w:vMerge w:val="restart"/>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56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3220"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预警发布数据集约能力分系统</w:t>
            </w:r>
          </w:p>
        </w:tc>
        <w:tc>
          <w:tcPr>
            <w:tcW w:w="1546" w:type="dxa"/>
            <w:vMerge w:val="restart"/>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C16010302 行业应用软件开发服务</w:t>
            </w:r>
          </w:p>
        </w:tc>
        <w:tc>
          <w:tcPr>
            <w:tcW w:w="70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项</w:t>
            </w:r>
          </w:p>
        </w:tc>
        <w:tc>
          <w:tcPr>
            <w:tcW w:w="63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81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否</w:t>
            </w:r>
          </w:p>
        </w:tc>
        <w:tc>
          <w:tcPr>
            <w:tcW w:w="183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jc w:val="center"/>
        </w:trPr>
        <w:tc>
          <w:tcPr>
            <w:tcW w:w="545" w:type="dxa"/>
            <w:vMerge w:val="continue"/>
            <w:vAlign w:val="center"/>
          </w:tcPr>
          <w:p>
            <w:pPr>
              <w:pStyle w:val="41"/>
              <w:jc w:val="center"/>
              <w:rPr>
                <w:rFonts w:hint="eastAsia" w:ascii="宋体" w:hAnsi="宋体" w:eastAsia="宋体" w:cs="宋体"/>
                <w:color w:val="000000" w:themeColor="text1"/>
                <w:sz w:val="24"/>
                <w:szCs w:val="24"/>
              </w:rPr>
            </w:pPr>
          </w:p>
        </w:tc>
        <w:tc>
          <w:tcPr>
            <w:tcW w:w="567" w:type="dxa"/>
            <w:vAlign w:val="center"/>
          </w:tcPr>
          <w:p>
            <w:pPr>
              <w:pStyle w:val="41"/>
              <w:jc w:val="center"/>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2</w:t>
            </w:r>
          </w:p>
        </w:tc>
        <w:tc>
          <w:tcPr>
            <w:tcW w:w="3220"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“链上预警”数据区块链应用服务分系统</w:t>
            </w:r>
          </w:p>
        </w:tc>
        <w:tc>
          <w:tcPr>
            <w:tcW w:w="1546" w:type="dxa"/>
            <w:vMerge w:val="continue"/>
            <w:vAlign w:val="center"/>
          </w:tcPr>
          <w:p>
            <w:pPr>
              <w:pStyle w:val="41"/>
              <w:jc w:val="center"/>
              <w:rPr>
                <w:rFonts w:hint="eastAsia" w:ascii="宋体" w:hAnsi="宋体" w:eastAsia="宋体" w:cs="宋体"/>
                <w:color w:val="000000" w:themeColor="text1"/>
                <w:sz w:val="24"/>
                <w:szCs w:val="24"/>
              </w:rPr>
            </w:pPr>
          </w:p>
        </w:tc>
        <w:tc>
          <w:tcPr>
            <w:tcW w:w="70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项</w:t>
            </w:r>
          </w:p>
        </w:tc>
        <w:tc>
          <w:tcPr>
            <w:tcW w:w="63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81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否</w:t>
            </w:r>
          </w:p>
        </w:tc>
        <w:tc>
          <w:tcPr>
            <w:tcW w:w="183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68</w:t>
            </w:r>
            <w:r>
              <w:rPr>
                <w:rFonts w:hint="eastAsia" w:ascii="宋体" w:hAnsi="宋体" w:eastAsia="宋体" w:cs="宋体"/>
                <w:color w:val="000000" w:themeColor="text1"/>
                <w:sz w:val="24"/>
                <w:szCs w:val="24"/>
                <w:lang w:val="en-US" w:eastAsia="zh-CN"/>
              </w:rPr>
              <w:t>.</w:t>
            </w:r>
            <w:r>
              <w:rPr>
                <w:rFonts w:hint="eastAsia" w:ascii="宋体" w:hAnsi="宋体" w:eastAsia="宋体" w:cs="宋体"/>
                <w:color w:val="000000" w:themeColor="text1"/>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jc w:val="center"/>
        </w:trPr>
        <w:tc>
          <w:tcPr>
            <w:tcW w:w="545" w:type="dxa"/>
            <w:vMerge w:val="continue"/>
            <w:vAlign w:val="center"/>
          </w:tcPr>
          <w:p>
            <w:pPr>
              <w:pStyle w:val="41"/>
              <w:jc w:val="center"/>
              <w:rPr>
                <w:rFonts w:hint="eastAsia" w:ascii="宋体" w:hAnsi="宋体" w:eastAsia="宋体" w:cs="宋体"/>
                <w:color w:val="000000" w:themeColor="text1"/>
                <w:sz w:val="24"/>
                <w:szCs w:val="24"/>
              </w:rPr>
            </w:pPr>
          </w:p>
        </w:tc>
        <w:tc>
          <w:tcPr>
            <w:tcW w:w="567" w:type="dxa"/>
            <w:vAlign w:val="center"/>
          </w:tcPr>
          <w:p>
            <w:pPr>
              <w:pStyle w:val="41"/>
              <w:jc w:val="center"/>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lang w:val="en-US" w:eastAsia="zh-CN"/>
              </w:rPr>
              <w:t>3</w:t>
            </w:r>
          </w:p>
        </w:tc>
        <w:tc>
          <w:tcPr>
            <w:tcW w:w="3220"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预警发布评估与反馈服务分系统</w:t>
            </w:r>
          </w:p>
        </w:tc>
        <w:tc>
          <w:tcPr>
            <w:tcW w:w="1546" w:type="dxa"/>
            <w:vMerge w:val="continue"/>
            <w:vAlign w:val="center"/>
          </w:tcPr>
          <w:p>
            <w:pPr>
              <w:pStyle w:val="41"/>
              <w:jc w:val="center"/>
              <w:rPr>
                <w:rFonts w:hint="eastAsia" w:ascii="宋体" w:hAnsi="宋体" w:eastAsia="宋体" w:cs="宋体"/>
                <w:color w:val="000000" w:themeColor="text1"/>
                <w:sz w:val="24"/>
                <w:szCs w:val="24"/>
              </w:rPr>
            </w:pPr>
          </w:p>
        </w:tc>
        <w:tc>
          <w:tcPr>
            <w:tcW w:w="70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项</w:t>
            </w:r>
          </w:p>
        </w:tc>
        <w:tc>
          <w:tcPr>
            <w:tcW w:w="63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81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否</w:t>
            </w:r>
          </w:p>
        </w:tc>
        <w:tc>
          <w:tcPr>
            <w:tcW w:w="183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136</w:t>
            </w:r>
            <w:r>
              <w:rPr>
                <w:rFonts w:hint="eastAsia" w:ascii="宋体" w:hAnsi="宋体" w:eastAsia="宋体" w:cs="宋体"/>
                <w:color w:val="000000" w:themeColor="text1"/>
                <w:sz w:val="24"/>
                <w:szCs w:val="24"/>
                <w:lang w:val="en-US" w:eastAsia="zh-CN"/>
              </w:rPr>
              <w:t>.</w:t>
            </w:r>
            <w:r>
              <w:rPr>
                <w:rFonts w:hint="eastAsia" w:ascii="宋体" w:hAnsi="宋体" w:eastAsia="宋体" w:cs="宋体"/>
                <w:color w:val="000000" w:themeColor="text1"/>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jc w:val="center"/>
        </w:trPr>
        <w:tc>
          <w:tcPr>
            <w:tcW w:w="545"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w:t>
            </w:r>
          </w:p>
        </w:tc>
        <w:tc>
          <w:tcPr>
            <w:tcW w:w="56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3220"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嵌入式应用公共组件分系统</w:t>
            </w:r>
          </w:p>
        </w:tc>
        <w:tc>
          <w:tcPr>
            <w:tcW w:w="154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C16010400 嵌入式软件开发服务</w:t>
            </w:r>
          </w:p>
        </w:tc>
        <w:tc>
          <w:tcPr>
            <w:tcW w:w="70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项</w:t>
            </w:r>
          </w:p>
        </w:tc>
        <w:tc>
          <w:tcPr>
            <w:tcW w:w="63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816"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否</w:t>
            </w:r>
          </w:p>
        </w:tc>
        <w:tc>
          <w:tcPr>
            <w:tcW w:w="1837" w:type="dxa"/>
            <w:vAlign w:val="center"/>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120.00</w:t>
            </w:r>
          </w:p>
        </w:tc>
      </w:tr>
    </w:tbl>
    <w:p>
      <w:pPr>
        <w:ind w:firstLine="31680"/>
        <w:rPr>
          <w:rFonts w:hint="eastAsia" w:ascii="宋体" w:hAnsi="宋体" w:eastAsia="宋体" w:cs="宋体"/>
          <w:b/>
          <w:color w:val="000000" w:themeColor="text1"/>
        </w:rPr>
      </w:pPr>
    </w:p>
    <w:p>
      <w:pPr>
        <w:ind w:firstLine="31680"/>
        <w:rPr>
          <w:rFonts w:hint="eastAsia" w:ascii="宋体" w:hAnsi="宋体" w:eastAsia="宋体" w:cs="宋体"/>
          <w:b/>
          <w:color w:val="000000" w:themeColor="text1"/>
        </w:rPr>
      </w:pPr>
      <w:r>
        <w:rPr>
          <w:rFonts w:hint="eastAsia" w:ascii="宋体" w:hAnsi="宋体" w:eastAsia="宋体" w:cs="宋体"/>
          <w:b/>
          <w:color w:val="000000" w:themeColor="text1"/>
        </w:rPr>
        <w:t>（四）技术商务要求</w:t>
      </w:r>
    </w:p>
    <w:p>
      <w:pPr>
        <w:ind w:firstLine="31680"/>
        <w:rPr>
          <w:rFonts w:hint="eastAsia" w:ascii="宋体" w:hAnsi="宋体" w:eastAsia="宋体" w:cs="宋体"/>
          <w:b/>
          <w:color w:val="000000" w:themeColor="text1"/>
          <w:sz w:val="24"/>
          <w:szCs w:val="24"/>
        </w:rPr>
      </w:pPr>
      <w:r>
        <w:rPr>
          <w:rFonts w:hint="eastAsia" w:ascii="宋体" w:hAnsi="宋体" w:eastAsia="宋体" w:cs="宋体"/>
          <w:b/>
          <w:color w:val="000000" w:themeColor="text1"/>
          <w:sz w:val="24"/>
          <w:szCs w:val="24"/>
          <w:lang w:val="en-US" w:eastAsia="zh-CN"/>
        </w:rPr>
        <w:t>一</w:t>
      </w:r>
      <w:r>
        <w:rPr>
          <w:rFonts w:hint="eastAsia" w:ascii="宋体" w:hAnsi="宋体" w:eastAsia="宋体" w:cs="宋体"/>
          <w:b/>
          <w:color w:val="000000" w:themeColor="text1"/>
          <w:sz w:val="24"/>
          <w:szCs w:val="24"/>
        </w:rPr>
        <w:t>、技术和服务要求</w:t>
      </w:r>
    </w:p>
    <w:p>
      <w:pPr>
        <w:pStyle w:val="41"/>
        <w:ind w:firstLine="480"/>
        <w:jc w:val="center"/>
        <w:rPr>
          <w:rFonts w:hint="eastAsia" w:ascii="宋体" w:hAnsi="宋体" w:eastAsia="宋体" w:cs="宋体"/>
          <w:b/>
          <w:color w:val="000000" w:themeColor="text1"/>
          <w:sz w:val="24"/>
          <w:szCs w:val="24"/>
        </w:rPr>
      </w:pPr>
    </w:p>
    <w:p>
      <w:pPr>
        <w:pStyle w:val="41"/>
        <w:ind w:firstLine="480"/>
        <w:jc w:val="center"/>
        <w:rPr>
          <w:rFonts w:hint="eastAsia" w:ascii="宋体" w:hAnsi="宋体" w:eastAsia="宋体" w:cs="宋体"/>
          <w:b/>
          <w:color w:val="000000" w:themeColor="text1"/>
          <w:sz w:val="24"/>
          <w:szCs w:val="24"/>
        </w:rPr>
      </w:pPr>
      <w:r>
        <w:rPr>
          <w:rFonts w:hint="eastAsia" w:ascii="宋体" w:hAnsi="宋体" w:eastAsia="宋体" w:cs="宋体"/>
          <w:b/>
          <w:color w:val="000000" w:themeColor="text1"/>
          <w:sz w:val="24"/>
          <w:szCs w:val="24"/>
        </w:rPr>
        <w:t>采购包1、</w:t>
      </w:r>
      <w:bookmarkStart w:id="0" w:name="OLE_LINK14"/>
      <w:r>
        <w:rPr>
          <w:rFonts w:hint="eastAsia" w:ascii="宋体" w:hAnsi="宋体" w:eastAsia="宋体" w:cs="宋体"/>
          <w:b/>
          <w:color w:val="000000" w:themeColor="text1"/>
          <w:sz w:val="24"/>
          <w:szCs w:val="24"/>
        </w:rPr>
        <w:t>预警发布数据集约能力分系统</w:t>
      </w:r>
      <w:bookmarkEnd w:id="0"/>
      <w:r>
        <w:rPr>
          <w:rFonts w:hint="eastAsia" w:ascii="宋体" w:hAnsi="宋体" w:eastAsia="宋体" w:cs="宋体"/>
          <w:b/>
          <w:color w:val="000000" w:themeColor="text1"/>
          <w:sz w:val="24"/>
          <w:szCs w:val="24"/>
        </w:rPr>
        <w:t>、</w:t>
      </w:r>
      <w:bookmarkStart w:id="1" w:name="OLE_LINK18"/>
      <w:r>
        <w:rPr>
          <w:rFonts w:hint="eastAsia" w:ascii="宋体" w:hAnsi="宋体" w:eastAsia="宋体" w:cs="宋体"/>
          <w:b/>
          <w:color w:val="000000" w:themeColor="text1"/>
          <w:sz w:val="24"/>
          <w:szCs w:val="24"/>
        </w:rPr>
        <w:t>“链上预警”数据区块链应用服务分系统</w:t>
      </w:r>
      <w:bookmarkEnd w:id="1"/>
      <w:r>
        <w:rPr>
          <w:rFonts w:hint="eastAsia" w:ascii="宋体" w:hAnsi="宋体" w:eastAsia="宋体" w:cs="宋体"/>
          <w:b/>
          <w:color w:val="000000" w:themeColor="text1"/>
          <w:sz w:val="24"/>
          <w:szCs w:val="24"/>
        </w:rPr>
        <w:t>和</w:t>
      </w:r>
      <w:bookmarkStart w:id="2" w:name="OLE_LINK37"/>
      <w:bookmarkStart w:id="3" w:name="OLE_LINK19"/>
      <w:r>
        <w:rPr>
          <w:rFonts w:hint="eastAsia" w:ascii="宋体" w:hAnsi="宋体" w:eastAsia="宋体" w:cs="宋体"/>
          <w:b/>
          <w:color w:val="000000" w:themeColor="text1"/>
          <w:sz w:val="24"/>
          <w:szCs w:val="24"/>
        </w:rPr>
        <w:t>预警发布评估与反馈服务分系统</w:t>
      </w:r>
      <w:bookmarkEnd w:id="2"/>
      <w:bookmarkEnd w:id="3"/>
    </w:p>
    <w:p>
      <w:pPr>
        <w:pStyle w:val="41"/>
        <w:spacing w:line="400" w:lineRule="exact"/>
        <w:ind w:firstLine="480"/>
        <w:jc w:val="both"/>
        <w:rPr>
          <w:rFonts w:hint="eastAsia" w:ascii="宋体" w:hAnsi="宋体" w:eastAsia="宋体" w:cs="宋体"/>
          <w:b/>
          <w:color w:val="000000" w:themeColor="text1"/>
          <w:sz w:val="24"/>
          <w:shd w:val="clear" w:color="auto" w:fill="FFFFFF"/>
        </w:rPr>
      </w:pPr>
      <w:r>
        <w:rPr>
          <w:rFonts w:hint="eastAsia" w:ascii="宋体" w:hAnsi="宋体" w:eastAsia="宋体" w:cs="宋体"/>
          <w:b/>
          <w:color w:val="000000" w:themeColor="text1"/>
          <w:sz w:val="24"/>
          <w:shd w:val="clear" w:color="auto" w:fill="FFFFFF"/>
        </w:rPr>
        <w:t>★</w:t>
      </w:r>
      <w:r>
        <w:rPr>
          <w:rFonts w:hint="eastAsia" w:ascii="宋体" w:hAnsi="宋体" w:eastAsia="宋体" w:cs="宋体"/>
          <w:b/>
          <w:color w:val="000000" w:themeColor="text1"/>
          <w:sz w:val="24"/>
          <w:shd w:val="clear" w:color="auto" w:fill="FFFFFF"/>
          <w:lang w:val="en-US" w:eastAsia="zh-CN"/>
        </w:rPr>
        <w:t>1、基础要求：</w:t>
      </w:r>
      <w:r>
        <w:rPr>
          <w:rFonts w:hint="eastAsia" w:ascii="宋体" w:hAnsi="宋体" w:eastAsia="宋体" w:cs="宋体"/>
          <w:b/>
          <w:color w:val="000000" w:themeColor="text1"/>
          <w:sz w:val="24"/>
          <w:shd w:val="clear" w:color="auto" w:fill="FFFFFF"/>
        </w:rPr>
        <w:t>因本项目需对接福建省突发事件预警信息发布系统（以下简称突发系统），</w:t>
      </w:r>
      <w:r>
        <w:rPr>
          <w:rFonts w:hint="eastAsia" w:ascii="宋体" w:hAnsi="宋体" w:eastAsia="宋体" w:cs="宋体"/>
          <w:b/>
          <w:color w:val="000000" w:themeColor="text1"/>
          <w:sz w:val="24"/>
          <w:szCs w:val="24"/>
        </w:rPr>
        <w:t>采购包1</w:t>
      </w:r>
      <w:r>
        <w:rPr>
          <w:rFonts w:hint="eastAsia" w:ascii="宋体" w:hAnsi="宋体" w:eastAsia="宋体" w:cs="宋体"/>
          <w:b/>
          <w:color w:val="000000" w:themeColor="text1"/>
          <w:sz w:val="24"/>
        </w:rPr>
        <w:t>投标人须承诺：遵循符合突发系统统一技术框架、统一技术规范、统一数据交互标准、统一信息安全标准，</w:t>
      </w:r>
      <w:r>
        <w:rPr>
          <w:rFonts w:hint="eastAsia" w:ascii="宋体" w:hAnsi="宋体" w:eastAsia="宋体" w:cs="宋体"/>
          <w:b/>
          <w:color w:val="000000" w:themeColor="text1"/>
          <w:sz w:val="24"/>
          <w:shd w:val="clear" w:color="auto" w:fill="FFFFFF"/>
        </w:rPr>
        <w:t>投标人需提供专项承诺书，若涉及突发系统接口开发改造工作，承诺能够自行承担系统接口开发改造费用。</w:t>
      </w:r>
    </w:p>
    <w:p>
      <w:pPr>
        <w:pStyle w:val="41"/>
        <w:spacing w:line="400" w:lineRule="exact"/>
        <w:ind w:firstLine="480"/>
        <w:jc w:val="both"/>
        <w:rPr>
          <w:rFonts w:hint="eastAsia" w:ascii="宋体" w:hAnsi="宋体" w:eastAsia="宋体" w:cs="宋体"/>
          <w:b/>
          <w:color w:val="000000" w:themeColor="text1"/>
          <w:sz w:val="24"/>
          <w:shd w:val="clear" w:color="auto" w:fill="FFFFFF"/>
          <w:lang w:val="en-US" w:eastAsia="zh-CN"/>
        </w:rPr>
      </w:pPr>
      <w:r>
        <w:rPr>
          <w:rFonts w:hint="eastAsia" w:ascii="宋体" w:hAnsi="宋体" w:eastAsia="宋体" w:cs="宋体"/>
          <w:b/>
          <w:color w:val="000000" w:themeColor="text1"/>
          <w:sz w:val="24"/>
          <w:shd w:val="clear" w:color="auto" w:fill="FFFFFF"/>
        </w:rPr>
        <w:t>★</w:t>
      </w:r>
      <w:r>
        <w:rPr>
          <w:rFonts w:hint="eastAsia" w:ascii="宋体" w:hAnsi="宋体" w:eastAsia="宋体" w:cs="宋体"/>
          <w:b/>
          <w:color w:val="000000" w:themeColor="text1"/>
          <w:sz w:val="24"/>
          <w:shd w:val="clear" w:color="auto" w:fill="FFFFFF"/>
          <w:lang w:val="en-US" w:eastAsia="zh-CN"/>
        </w:rPr>
        <w:t>2、采购包1的下列技术和服务要求中未以“指标X”标识的内容均为</w:t>
      </w:r>
      <w:r>
        <w:rPr>
          <w:rFonts w:hint="eastAsia" w:ascii="宋体" w:hAnsi="宋体" w:eastAsia="宋体" w:cs="宋体"/>
          <w:b/>
          <w:color w:val="000000" w:themeColor="text1"/>
          <w:sz w:val="24"/>
          <w:szCs w:val="24"/>
        </w:rPr>
        <w:t>不允许负偏离的实质性要求</w:t>
      </w:r>
      <w:r>
        <w:rPr>
          <w:rFonts w:hint="eastAsia" w:ascii="宋体" w:hAnsi="宋体" w:eastAsia="宋体" w:cs="宋体"/>
          <w:b/>
          <w:color w:val="000000" w:themeColor="text1"/>
          <w:sz w:val="24"/>
          <w:szCs w:val="24"/>
          <w:lang w:eastAsia="zh-CN"/>
        </w:rPr>
        <w:t>。</w:t>
      </w:r>
    </w:p>
    <w:p>
      <w:pPr>
        <w:pStyle w:val="41"/>
        <w:ind w:firstLine="480"/>
        <w:jc w:val="both"/>
        <w:rPr>
          <w:rFonts w:hint="eastAsia" w:ascii="宋体" w:hAnsi="宋体" w:eastAsia="宋体" w:cs="宋体"/>
          <w:b/>
          <w:color w:val="000000" w:themeColor="text1"/>
          <w:sz w:val="24"/>
          <w:szCs w:val="24"/>
        </w:rPr>
      </w:pPr>
    </w:p>
    <w:p>
      <w:pPr>
        <w:pStyle w:val="41"/>
        <w:ind w:firstLine="480"/>
        <w:jc w:val="center"/>
        <w:rPr>
          <w:rFonts w:hint="eastAsia" w:ascii="宋体" w:hAnsi="宋体" w:eastAsia="宋体" w:cs="宋体"/>
          <w:b/>
          <w:color w:val="000000" w:themeColor="text1"/>
          <w:sz w:val="24"/>
          <w:szCs w:val="24"/>
        </w:rPr>
      </w:pPr>
    </w:p>
    <w:p>
      <w:pPr>
        <w:pStyle w:val="41"/>
        <w:ind w:firstLine="480"/>
        <w:rPr>
          <w:rFonts w:hint="eastAsia" w:ascii="宋体" w:hAnsi="宋体" w:eastAsia="宋体" w:cs="宋体"/>
          <w:color w:val="000000" w:themeColor="text1"/>
          <w:sz w:val="24"/>
          <w:szCs w:val="24"/>
          <w:shd w:val="clear" w:color="auto" w:fill="FFFFFF"/>
        </w:rPr>
      </w:pPr>
      <w:r>
        <w:rPr>
          <w:rFonts w:hint="eastAsia" w:ascii="宋体" w:hAnsi="宋体" w:eastAsia="宋体" w:cs="宋体"/>
          <w:b/>
          <w:color w:val="000000" w:themeColor="text1"/>
          <w:sz w:val="24"/>
          <w:szCs w:val="24"/>
        </w:rPr>
        <w:t>品目号1-1、预警发布数据集约能力分系统</w:t>
      </w:r>
    </w:p>
    <w:p>
      <w:pPr>
        <w:pStyle w:val="4"/>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1.1预警发布数据集约能力分系统建设内容</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数据集约能力分系统建设是对预警信息数据、传播渠道数据、监控评估反馈数据、突发事件直报数据、部门用户共享交换数据、基础元数据进行统一规划、有效整合、分类存储，建立预警发布业务领域的信息资源管理体系，再通过循环式的数据采集、数据汇聚、数据处理、数据管理、数据交互、数据共享等引擎建设，提供预警数据多用户在线共享服务。</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数据集约能力分系统建设涵盖预警信息、传播渠道、现场信息、防灾减灾基础数据、科普宣教数据、前置数据、基础数据的规范化信息资源数据库及管理体系。建设内容包括：数字信息资源规划建设子系统和数据集约管理能力建设子系统。预警发布数据集约能力分系统部署在福建省政务外网云计算平台，供省市县三级部门单位使用。</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系统集成服务，实现本采购建设内容集成到福建省突发事件预警信息发布系统中</w:t>
      </w:r>
      <w:r>
        <w:rPr>
          <w:rFonts w:hint="eastAsia" w:ascii="宋体" w:hAnsi="宋体" w:eastAsia="宋体" w:cs="宋体"/>
          <w:color w:val="000000" w:themeColor="text1"/>
          <w:sz w:val="24"/>
          <w:szCs w:val="24"/>
          <w:lang w:val="en-US" w:eastAsia="zh-CN"/>
        </w:rPr>
        <w:t>所承担的相关工作</w:t>
      </w:r>
      <w:r>
        <w:rPr>
          <w:rFonts w:hint="eastAsia" w:ascii="宋体" w:hAnsi="宋体" w:eastAsia="宋体" w:cs="宋体"/>
          <w:color w:val="000000" w:themeColor="text1"/>
          <w:sz w:val="24"/>
          <w:szCs w:val="24"/>
        </w:rPr>
        <w:t>。</w:t>
      </w:r>
    </w:p>
    <w:p>
      <w:pPr>
        <w:pStyle w:val="6"/>
        <w:numPr>
          <w:ilvl w:val="2"/>
          <w:numId w:val="2"/>
        </w:numPr>
        <w:rPr>
          <w:rFonts w:hint="eastAsia" w:ascii="宋体" w:hAnsi="宋体" w:eastAsia="宋体" w:cs="宋体"/>
          <w:color w:val="000000" w:themeColor="text1"/>
        </w:rPr>
      </w:pPr>
      <w:r>
        <w:rPr>
          <w:rFonts w:hint="eastAsia" w:ascii="宋体" w:hAnsi="宋体" w:eastAsia="宋体" w:cs="宋体"/>
          <w:color w:val="000000" w:themeColor="text1"/>
        </w:rPr>
        <w:t>数字信息资源规划建设子系统</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数字信息资源规划建设子系统主要功能包括预警信息发布数据资源库、数据资源规划看板、数据资产登记模块、数据资源接入汇聚模块、数据治理模块、数据服务模块。</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预警信息发布数据资源库</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字信息资源规划建设子系统建设门类齐全、标准统一、内容充实、安全可靠的预警信息发布数据资源库，包括信息资源规划建设模块、基础数据规划建设模块、防灾减灾基础数据规划建设模块、预警信息发布数据规划建设模块、预警发布渠道数据规划建设模块、预警信息现场直报数据规划建设模块、科普宣教数据规划建设模块、前置数据规划建设模块、多源数据存储建设模块。</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【指标1】信息资源规划模块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信息资源规划模块：完成信息资源规划的需求调研规划、资料收集；制定相应的标准规范、机构组织；制定数据的更新机制；实施比对分析，编制新增信息集、信息项定义，数据资源库设计；开发数据字典管理工具；开展数据整合与改造，含历史数据与新建数据。</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需提供信息资源规划实施路线图。</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【指标2】基础数据规划模块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基础数据规划模块：规划构建基础元数据、空间地理数据、人口经济数据、法律/法规/预案/标准数据等。基础数据组成如下图所示。</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需以列表方式提供每类基础数据规划的数据类型、数据来源、获取方式、周期、数据管理及共享。</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【指标3】防灾减灾基础数据规划模块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防灾减灾基础数据规划模块：规划构建POI数据、实况监测数据，包括气象、自然资源、海洋与渔业、地震、水利等多部门防灾减灾数据、自然灾害风险普查成果数据。</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需以列表方式提供POI数据和实况监测数据的数据类型、数据来源、获取方式、周期、数据管理及共享。</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【指标4】预警信息发布数据规划模块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预警信息发布数据规划模块：规划建设省、市、县、乡镇、自然村五级一体化的预警信息、应急处置信息、风险预警消息，以及电子预案、发布日志、结果反馈、发布统计数据、敏感词库、评估数据。</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需以列表方式提供以上预警信息发布数据的数据来源、获取方式、周期</w:t>
      </w:r>
      <w:r>
        <w:rPr>
          <w:rFonts w:hint="eastAsia" w:ascii="宋体" w:hAnsi="宋体" w:eastAsia="宋体" w:cs="宋体"/>
          <w:b/>
          <w:bCs/>
          <w:color w:val="000000" w:themeColor="text1"/>
          <w:sz w:val="24"/>
          <w:szCs w:val="24"/>
          <w:lang w:eastAsia="zh-CN"/>
        </w:rPr>
        <w:t>、</w:t>
      </w:r>
      <w:r>
        <w:rPr>
          <w:rFonts w:hint="eastAsia" w:ascii="宋体" w:hAnsi="宋体" w:eastAsia="宋体" w:cs="宋体"/>
          <w:b/>
          <w:bCs/>
          <w:color w:val="000000" w:themeColor="text1"/>
          <w:sz w:val="24"/>
          <w:szCs w:val="24"/>
        </w:rPr>
        <w:t>数据管理</w:t>
      </w:r>
      <w:r>
        <w:rPr>
          <w:rFonts w:hint="eastAsia" w:ascii="宋体" w:hAnsi="宋体" w:eastAsia="宋体" w:cs="宋体"/>
          <w:b/>
          <w:bCs/>
          <w:color w:val="000000" w:themeColor="text1"/>
          <w:sz w:val="24"/>
          <w:szCs w:val="24"/>
          <w:lang w:eastAsia="zh-CN"/>
        </w:rPr>
        <w:t>及</w:t>
      </w:r>
      <w:r>
        <w:rPr>
          <w:rFonts w:hint="eastAsia" w:ascii="宋体" w:hAnsi="宋体" w:eastAsia="宋体" w:cs="宋体"/>
          <w:b/>
          <w:bCs/>
          <w:color w:val="000000" w:themeColor="text1"/>
          <w:sz w:val="24"/>
          <w:szCs w:val="24"/>
        </w:rPr>
        <w:t>共享。</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预警发布渠道数据规划模块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预警发布渠道数据规划模块：规划建设短信、电视、应急广播、网站、两微、APP、邮箱等全媒体多手段渠道数据、发布业务管理数据、发布详情数据、发布日志数据、渠道受众管理数据。</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预警信息现场直报数据规划模块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预警信息现场直报数据规划模块：规划建设现场直报数据来源、直报信息、审核信息、统计数据。</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科普宣教数据规划模块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科普宣教数据规划模块：规划建设科普产品、用户信息、访问统计、系统日志。</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前置数据规划模块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前置数据规划模块：规划构建空间地理信息、人口经济信息等基础信息资源、从各部门共享的突发事件预警发布业务相关数据以及系统运行产生的预警产品数据、统计评估数据。</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前置数据包括从国家基础信息库中共享的空间地理信息、人口经济信息等基础信息资源、从各部门共享的地质灾害、地震等突发事件预警发布业务相关数据以及系统运行产生的预警产品数据、统计评估数据等。采用前置机推送方式与各部门、省级开展数据交换共享。</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多源数据存储模块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多源数据存储模块：根据基础数据、预警发布业务数据、前置数据等多源数据建立数据存储读取库表。</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数据资源规划看板</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通过数据资源规划看板，帮助部门用户快速掌握本部门数据情况，包括部门总体数据汇聚、数据共享、数据调用和数据上报情况；实时数据汇聚、数据共享情况和本部门热门接口服务排名信息等。</w:t>
      </w:r>
    </w:p>
    <w:p>
      <w:pPr>
        <w:pStyle w:val="9"/>
        <w:rPr>
          <w:rFonts w:hint="eastAsia" w:ascii="宋体" w:hAnsi="宋体" w:eastAsia="宋体" w:cs="宋体"/>
          <w:color w:val="000000" w:themeColor="text1"/>
        </w:rPr>
      </w:pPr>
      <w:r>
        <w:rPr>
          <w:rFonts w:hint="eastAsia" w:ascii="宋体" w:hAnsi="宋体" w:eastAsia="宋体" w:cs="宋体"/>
          <w:color w:val="000000" w:themeColor="text1"/>
        </w:rPr>
        <w:t>数据资源展示</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统计部门截止到当前时间段数据资源总体情况，分别从数据汇聚、数据共享、数据调用等维度进行数据统计。</w:t>
      </w:r>
    </w:p>
    <w:p>
      <w:pPr>
        <w:pStyle w:val="9"/>
        <w:rPr>
          <w:rFonts w:hint="eastAsia" w:ascii="宋体" w:hAnsi="宋体" w:eastAsia="宋体" w:cs="宋体"/>
          <w:color w:val="000000" w:themeColor="text1"/>
        </w:rPr>
      </w:pPr>
      <w:r>
        <w:rPr>
          <w:rFonts w:hint="eastAsia" w:ascii="宋体" w:hAnsi="宋体" w:eastAsia="宋体" w:cs="宋体"/>
          <w:color w:val="000000" w:themeColor="text1"/>
        </w:rPr>
        <w:t>数据共享情况</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以列表形式展示本部门数据共享情况，包括数据申请部门、数据应用场景、数据推送量和数据推送时间等。</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以列表形式展示本部门接口共享情况，包括被调用接口名称、调用单位、数据系统和调用量。</w:t>
      </w:r>
    </w:p>
    <w:p>
      <w:pPr>
        <w:pStyle w:val="9"/>
        <w:rPr>
          <w:rFonts w:hint="eastAsia" w:ascii="宋体" w:hAnsi="宋体" w:eastAsia="宋体" w:cs="宋体"/>
          <w:color w:val="000000" w:themeColor="text1"/>
        </w:rPr>
      </w:pPr>
      <w:r>
        <w:rPr>
          <w:rFonts w:hint="eastAsia" w:ascii="宋体" w:hAnsi="宋体" w:eastAsia="宋体" w:cs="宋体"/>
          <w:color w:val="000000" w:themeColor="text1"/>
        </w:rPr>
        <w:t>实时共享情况</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展示本部门实时数据共享情况，包括被调用的接口详情，具体内容包含调用部门、应用系统和时间；数据推送详情，具体内容包括申请部门、推送数据表名、数据量和应用系统等。</w:t>
      </w:r>
    </w:p>
    <w:p>
      <w:pPr>
        <w:pStyle w:val="9"/>
        <w:rPr>
          <w:rFonts w:hint="eastAsia" w:ascii="宋体" w:hAnsi="宋体" w:eastAsia="宋体" w:cs="宋体"/>
          <w:color w:val="000000" w:themeColor="text1"/>
        </w:rPr>
      </w:pPr>
      <w:r>
        <w:rPr>
          <w:rFonts w:hint="eastAsia" w:ascii="宋体" w:hAnsi="宋体" w:eastAsia="宋体" w:cs="宋体"/>
          <w:color w:val="000000" w:themeColor="text1"/>
        </w:rPr>
        <w:t>实时汇聚情况</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展示本部门实时数据汇聚情况，包括数据汇聚系统、数据表、汇聚数据量和具体汇聚时间。</w:t>
      </w:r>
    </w:p>
    <w:p>
      <w:pPr>
        <w:pStyle w:val="9"/>
        <w:rPr>
          <w:rFonts w:hint="eastAsia" w:ascii="宋体" w:hAnsi="宋体" w:eastAsia="宋体" w:cs="宋体"/>
          <w:color w:val="000000" w:themeColor="text1"/>
        </w:rPr>
      </w:pPr>
      <w:r>
        <w:rPr>
          <w:rFonts w:hint="eastAsia" w:ascii="宋体" w:hAnsi="宋体" w:eastAsia="宋体" w:cs="宋体"/>
          <w:color w:val="000000" w:themeColor="text1"/>
        </w:rPr>
        <w:t>热门接口排行</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根据本部门数据服务接口被其它部门调用次数进行排名展示。</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数据资产登记模块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数据资产登记模块支持对数据资产进行分类、登记和维护管理，实现数据的更好管理和利用。通过数据资产登记，方便用户更好地了解其数据资源，促进数据共享、协作和决策，从而推动创新、提升效率。</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【指标5】资产编目</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提供资产编目功能，包括目录登记、目录分类、目录维护，</w:t>
      </w: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须对各功能展开描述。</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【指标6】资产审核</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系统提供资产审核功能，包括目录登记审核和目录变更审核，经审核通过后目录自动发布，</w:t>
      </w: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须对各功能展开描述。</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数据资源接入汇聚模块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资源接入汇聚模块提供多元化数据接入方式，可将本部门各业务系统的数据进行集中汇聚、整合，实现本部门政务数据的统一、标准化和集成管理。依托数据汇聚系统，用户可以更好地利用分散的数据资源，帮助提高业务效率、决策准确性和创新能力。</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资源接入配置管理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提供接口接入配置功能，包括接口接入配置展示、检索、新增及删除。用户根据数据接入规范、数据资源目录标识及接口规范进行接口接入数据上传。</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资源接入校验</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接入校验主要实现对接入的数据进行稽核，如数据唯一性检查、完整性检查。数据校验内容有类型、长度、是否为空、精度、范围、格式等信息，对于错误的数据，可以进行输出，包括错误原因和错误字段序号等信息。</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【指标7】汇聚方式</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提供人工录入、excel文件上传及接口接入三种数据汇聚方式，实现各部门的数据汇聚。</w:t>
      </w: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须对各功能展开描述。</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【指标8】执行监控</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提供数据汇聚执行监控功能，包括监控列表、监控检索和监控配置，</w:t>
      </w: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须对各功能展开描述。</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数据治理模块</w:t>
      </w:r>
    </w:p>
    <w:p>
      <w:pPr>
        <w:pStyle w:val="9"/>
        <w:rPr>
          <w:rFonts w:hint="eastAsia" w:ascii="宋体" w:hAnsi="宋体" w:eastAsia="宋体" w:cs="宋体"/>
          <w:color w:val="000000" w:themeColor="text1"/>
        </w:rPr>
      </w:pPr>
      <w:r>
        <w:rPr>
          <w:rFonts w:hint="eastAsia" w:ascii="宋体" w:hAnsi="宋体" w:eastAsia="宋体" w:cs="宋体"/>
          <w:color w:val="000000" w:themeColor="text1"/>
        </w:rPr>
        <w:t>治理规则</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（1）数据去重</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存在重复记录或重复字段,重复数据数据的存在形式一般有两种情况，第一种就是数据值完全相同的多条数据记录，另一种就是数据主体相同但匹配到的唯一属性值不同。通过对每张数据表的每个字段信息进行排序和相似度计算，按一定规则排序后,通过比较邻近记录是否相似来检测记录是否重复。</w:t>
      </w:r>
    </w:p>
    <w:p>
      <w:pPr>
        <w:ind w:firstLine="640" w:firstLineChars="200"/>
        <w:rPr>
          <w:rFonts w:hint="eastAsia" w:ascii="宋体" w:hAnsi="宋体" w:eastAsia="宋体" w:cs="宋体"/>
          <w:color w:val="000000" w:themeColor="text1"/>
        </w:rPr>
      </w:pPr>
      <w:r>
        <w:rPr>
          <w:rFonts w:hint="eastAsia" w:ascii="宋体" w:hAnsi="宋体" w:eastAsia="宋体" w:cs="宋体"/>
          <w:color w:val="000000" w:themeColor="text1"/>
        </w:rPr>
        <w:t>（2）数据比对</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数据比对主要完成数据汇聚过程中，按照数据比对规则，对已接入的各类政务数据进行比对，筛选出不符合规则的数据。</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各应用系统数据质量参差不齐，数据格式五花八门，如有些表姓名字段有多个却没有证件号码，而有些只有证件号码没有却没有姓名，甚至存在新的数据比旧数据更不规范的情况。因此，对此类数据需要进行数据比对，确保治理后的共享数据可用、有效。</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（3）数据清洗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通过对业务逻辑的理解，从原始数据中梳理出具备能够反映业务特点的特征值，分析这些特征数据的有效范围，通过配置并执行包含有效范围信息的清洗规则，对每一张数据表实施数据清洗工作。</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（4）数据转换</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在数据转换中，技术人员可以定义数据转换规则和逻辑，包括数据格式转换、数据结构转换和数据内容转换等信息。通过数据转换让数据更好地适应不同的数据应用场景，提高数据应用效率和数据应用价值。</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（5）数据关联</w:t>
      </w:r>
    </w:p>
    <w:p>
      <w:pPr>
        <w:pStyle w:val="7"/>
        <w:spacing w:before="156" w:after="156"/>
        <w:ind w:firstLine="31680"/>
        <w:rPr>
          <w:rFonts w:hint="eastAsia" w:ascii="宋体" w:hAnsi="宋体" w:eastAsia="宋体" w:cs="宋体"/>
          <w:color w:val="000000" w:themeColor="text1"/>
          <w:sz w:val="24"/>
          <w:szCs w:val="22"/>
        </w:rPr>
      </w:pPr>
      <w:r>
        <w:rPr>
          <w:rFonts w:hint="eastAsia" w:ascii="宋体" w:hAnsi="宋体" w:eastAsia="宋体" w:cs="宋体"/>
          <w:color w:val="000000" w:themeColor="text1"/>
          <w:sz w:val="24"/>
          <w:szCs w:val="24"/>
        </w:rPr>
        <w:t>数据库中所有数据表间的关系是按照部门业务进行组织的，无法直接应用到对象档案、关系图谱等应用建设过程中。通过重新梳理、分析业务库中所有数据，建立全新的表间数据映射关系。</w:t>
      </w:r>
    </w:p>
    <w:p>
      <w:pPr>
        <w:pStyle w:val="9"/>
        <w:rPr>
          <w:rFonts w:hint="eastAsia" w:ascii="宋体" w:hAnsi="宋体" w:eastAsia="宋体" w:cs="宋体"/>
          <w:color w:val="000000" w:themeColor="text1"/>
        </w:rPr>
      </w:pPr>
      <w:r>
        <w:rPr>
          <w:rFonts w:hint="eastAsia" w:ascii="宋体" w:hAnsi="宋体" w:eastAsia="宋体" w:cs="宋体"/>
          <w:color w:val="000000" w:themeColor="text1"/>
        </w:rPr>
        <w:t>任务调度管理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（1）任务配置</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支持用户创建数据治理任务，包括任务名称、执行周期、执行时间、任务描述等设置。</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（2）任务执行</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支持对已计划的数据治理任务进行执行，并可查看任务执行结果，包括任务执行状态、执行时间、执行结果等信息。</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（3）任务编辑</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可对配置的任务进行修改、编辑和删除等操作。</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（4）任务查询</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用户可以查看查询已创建的任务列表和已执行的任务情况。</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（5）任务调度</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支持对数据治理任务进行调度管理，包括任务的暂停、恢复、重试、优先度设置等操作。</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（6）任务监控</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支持对数据治理任务运行状态进行监控和管理。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（7）任务预警</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支持对数据治理任务执行异常情况进行报警，包括任务执行失败、执行超时等异常情况。</w:t>
      </w:r>
    </w:p>
    <w:p>
      <w:pPr>
        <w:pStyle w:val="9"/>
        <w:rPr>
          <w:rFonts w:hint="eastAsia" w:ascii="宋体" w:hAnsi="宋体" w:eastAsia="宋体" w:cs="宋体"/>
          <w:color w:val="000000" w:themeColor="text1"/>
        </w:rPr>
      </w:pPr>
      <w:r>
        <w:rPr>
          <w:rFonts w:hint="eastAsia" w:ascii="宋体" w:hAnsi="宋体" w:eastAsia="宋体" w:cs="宋体"/>
          <w:color w:val="000000" w:themeColor="text1"/>
        </w:rPr>
        <w:t>数据质量分析</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（1）问题数据统计分类</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当治理任务执行结束之后，对治理的成果进行分类统计分析，并输出报告。</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（2）问题数据详细分析</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对问题数据涉及的所有数据表进行详细分析。包括空值问题分析、重复问题分析、格式错误问题分析。</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数据服务模块</w:t>
      </w:r>
    </w:p>
    <w:p>
      <w:pPr>
        <w:pStyle w:val="9"/>
        <w:rPr>
          <w:rFonts w:hint="eastAsia" w:ascii="宋体" w:hAnsi="宋体" w:eastAsia="宋体" w:cs="宋体"/>
          <w:color w:val="000000" w:themeColor="text1"/>
        </w:rPr>
      </w:pPr>
      <w:r>
        <w:rPr>
          <w:rFonts w:hint="eastAsia" w:ascii="宋体" w:hAnsi="宋体" w:eastAsia="宋体" w:cs="宋体"/>
          <w:color w:val="000000" w:themeColor="text1"/>
        </w:rPr>
        <w:t>接口服务</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（1）接口配置生成</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基于已汇聚数据的数据表自动生成接口服务。用户通过选择特定数据表，将表结构的某些字段作为输入或输出参数，再填写接口的基本信息，包括接口名称，接口描述等，全部填写完毕提交，接口自动配置生成。</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（2）接口登记</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用户根据定制接口或第三方接口的接口信息进行登记，实现服务的注册，主要登记内容包括接口服务名称、接口描述、接口地址等。</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（3）接口类别定义</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支持用户对平台接口服务类别进行定义和维护等操作。</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（4）接口测试</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在数据服务生成之后，用户可以通过测试来保障服务的可用性。</w:t>
      </w:r>
    </w:p>
    <w:p>
      <w:pPr>
        <w:pStyle w:val="6"/>
        <w:numPr>
          <w:ilvl w:val="2"/>
          <w:numId w:val="2"/>
        </w:numPr>
        <w:rPr>
          <w:rFonts w:hint="eastAsia" w:ascii="宋体" w:hAnsi="宋体" w:eastAsia="宋体" w:cs="宋体"/>
          <w:color w:val="000000" w:themeColor="text1"/>
        </w:rPr>
      </w:pPr>
      <w:r>
        <w:rPr>
          <w:rFonts w:hint="eastAsia" w:ascii="宋体" w:hAnsi="宋体" w:eastAsia="宋体" w:cs="宋体"/>
          <w:color w:val="000000" w:themeColor="text1"/>
        </w:rPr>
        <w:t>数据集约管理能力建设子系统</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企业服务总线模块</w:t>
      </w:r>
    </w:p>
    <w:p>
      <w:pPr>
        <w:pStyle w:val="9"/>
        <w:numPr>
          <w:ilvl w:val="4"/>
          <w:numId w:val="2"/>
        </w:numPr>
        <w:rPr>
          <w:rFonts w:hint="eastAsia" w:ascii="宋体" w:hAnsi="宋体" w:eastAsia="宋体" w:cs="宋体"/>
          <w:color w:val="000000" w:themeColor="text1"/>
        </w:rPr>
      </w:pPr>
      <w:r>
        <w:rPr>
          <w:rFonts w:hint="eastAsia" w:ascii="宋体" w:hAnsi="宋体" w:eastAsia="宋体" w:cs="宋体"/>
          <w:color w:val="000000" w:themeColor="text1"/>
        </w:rPr>
        <w:t>服务总线部门端</w:t>
      </w:r>
    </w:p>
    <w:p>
      <w:pPr>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【指标9】服务管理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服务管理主要分为服务目录管理、服务注册、服务发布与下架、服务申请、服务需求、服务需求审核和服务变更记录七个模块。</w:t>
      </w: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须对各功能展开描述。</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服务目录管理：包括我提供的服务和我申请的服务两个模块。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服务注册：用户添加节点服务，并指定安装方式为手动安装，然后通过对应节点的“添加”操作，手动填写适配器相关信息。</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服务发布与下架：用户注册服务接口，平台端审核通过后可进行服务发布和服务下架。</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服务申请：注册的服务审批后可发布在应用超市，供单位申请。</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需求：“服务需求”栏目适用于不同政府部门交互的栏目，当政府用户需要某个政府部门为自己开发某个功能的适配器时，可以通过该栏目发起申请，目标部门将会在“服务需求审核”栏目中看到相关的需求申请。</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服务需求审核：“服务需求审核”栏目是用于查看其他政府部门发起的服务需求，在服务需求审核中，政府部门可以选择接受或不接受改需求。</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服务变更记录：记录了用户对服务注册修改的记录历史。</w:t>
      </w:r>
    </w:p>
    <w:p>
      <w:pPr>
        <w:rPr>
          <w:rFonts w:hint="eastAsia" w:ascii="宋体" w:hAnsi="宋体" w:eastAsia="宋体" w:cs="宋体"/>
          <w:color w:val="000000" w:themeColor="text1"/>
        </w:rPr>
      </w:pPr>
      <w:r>
        <w:rPr>
          <w:rFonts w:hint="eastAsia" w:ascii="宋体" w:hAnsi="宋体" w:eastAsia="宋体" w:cs="宋体"/>
          <w:color w:val="000000" w:themeColor="text1"/>
        </w:rPr>
        <w:t>服务监控</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“服务监控”可查看到针对于本单位对于服务的调用次数以及最近调用时间，同时可查看到对于适配器调用的详细情况，提供协议转换、服务路由、服务日志、安全防护。</w:t>
      </w:r>
    </w:p>
    <w:p>
      <w:pPr>
        <w:pStyle w:val="9"/>
        <w:rPr>
          <w:rFonts w:hint="eastAsia" w:ascii="宋体" w:hAnsi="宋体" w:eastAsia="宋体" w:cs="宋体"/>
          <w:color w:val="000000" w:themeColor="text1"/>
          <w:sz w:val="22"/>
          <w:szCs w:val="32"/>
        </w:rPr>
      </w:pPr>
      <w:r>
        <w:rPr>
          <w:rFonts w:hint="eastAsia" w:ascii="宋体" w:hAnsi="宋体" w:eastAsia="宋体" w:cs="宋体"/>
          <w:color w:val="000000" w:themeColor="text1"/>
          <w:sz w:val="22"/>
          <w:szCs w:val="32"/>
        </w:rPr>
        <w:t>服务总线平台端</w:t>
      </w:r>
    </w:p>
    <w:p>
      <w:pPr>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【指标10】</w:t>
      </w:r>
      <w:r>
        <w:rPr>
          <w:rFonts w:hint="eastAsia" w:ascii="宋体" w:hAnsi="宋体" w:eastAsia="宋体" w:cs="宋体"/>
          <w:color w:val="000000" w:themeColor="text1"/>
          <w:sz w:val="24"/>
          <w:szCs w:val="24"/>
        </w:rPr>
        <w:t>服务总线平台展板</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总线平台“展板”栏目统计了用户操作数据，其中包括对前置机、服务节点、适配器的统计数据。图表展示适配器平均处理时间top5、前置机平均处理时间top5、监控异常汇总、系统消息提醒以及整体报表展示。</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需提供系统页面截图。</w:t>
      </w:r>
    </w:p>
    <w:p>
      <w:pP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r>
        <w:rPr>
          <w:rFonts w:hint="eastAsia" w:ascii="宋体" w:hAnsi="宋体" w:eastAsia="宋体" w:cs="宋体"/>
          <w:b/>
          <w:bCs/>
          <w:color w:val="000000" w:themeColor="text1"/>
          <w:sz w:val="24"/>
          <w:szCs w:val="24"/>
        </w:rPr>
        <w:t>指标11</w:t>
      </w:r>
      <w:r>
        <w:rPr>
          <w:rFonts w:hint="eastAsia" w:ascii="宋体" w:hAnsi="宋体" w:eastAsia="宋体" w:cs="宋体"/>
          <w:color w:val="000000" w:themeColor="text1"/>
          <w:sz w:val="24"/>
          <w:szCs w:val="24"/>
        </w:rPr>
        <w:t>】配置管理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提供配置管理功能，包括前置机管理、服务管理和系统管理。</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须对“服务管理”功能展开描述。</w:t>
      </w:r>
    </w:p>
    <w:p>
      <w:pPr>
        <w:widowControl w:val="0"/>
        <w:numPr>
          <w:ilvl w:val="0"/>
          <w:numId w:val="3"/>
        </w:numPr>
        <w:snapToGrid w:val="0"/>
        <w:spacing w:beforeLines="50" w:afterLines="50" w:line="360" w:lineRule="auto"/>
        <w:contextualSpacing/>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前置机管理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前置机是用于部署适配器的服务器，政府用户注册的适配器以及通过部署管理部署的jar包都会被部署到前置机中，而“前置机管理”栏目则是用于平台用户管理前置机以及前置机下的节点信息。平台用户可以通过该栏目添加、删除前置机。并且可以为前置机添加删除节点。</w:t>
      </w:r>
    </w:p>
    <w:p>
      <w:pPr>
        <w:widowControl w:val="0"/>
        <w:numPr>
          <w:ilvl w:val="0"/>
          <w:numId w:val="3"/>
        </w:numPr>
        <w:snapToGrid w:val="0"/>
        <w:spacing w:beforeLines="50" w:afterLines="50" w:line="360" w:lineRule="auto"/>
        <w:contextualSpacing/>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服务管理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“服务管理”栏目用于处理政府部门发起的适配器注册、适配器修改、适配器申请、流程编排申请等请求。主要分为服务目录管理、服务注册审核、服务申请审核和服务变更记录这四个部分。</w:t>
      </w:r>
    </w:p>
    <w:p>
      <w:pPr>
        <w:widowControl w:val="0"/>
        <w:numPr>
          <w:ilvl w:val="0"/>
          <w:numId w:val="3"/>
        </w:numPr>
        <w:snapToGrid w:val="0"/>
        <w:spacing w:beforeLines="50" w:afterLines="50" w:line="360" w:lineRule="auto"/>
        <w:contextualSpacing/>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系统管理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管理”栏目中包含用户管理和组织机构。在用户管理中，平台用户可以在用户管理中添加任意政府部门的用户，并为其添加政府或平台的权限。在组织机构中可查看到福建省省直部门以及各地市的机构名称以及部门名称。在文件管理中可对于文件规范进行上传和删除的操作。提供系统监控功能，包括服务监控、性能监控、前置机监控和系统日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服务监控：“服务监控”栏目用于查看注册的适配器调用情况。在“服务监控”栏目中，平台用户可以知道适配器调用次数、适配器调用失败次数、每次适配器调用的入参和出参等信息。</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性能监控：平台用户可以监控服务器的系统资源使用情况，包括CPU利用率、内存用量、磁盘利用率以及网络传送速率。此外平台用户还可以在“性能监控”栏目中查看历史适配器、流程调用统计、适配器流程的运行时间、适配器运行情况等。</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前置机监控：平台用户可以监控前置机的系统资源使用情况，包括CPU利用率、内存用量、磁盘利用率以及网络传送速率等。</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系统日志：存储了用户的操作记录包括登录日志、操作日志、异常日志和服务日志。其中服务日志会将用户重定向到Kibana页面，输入正确的账号密码后可以查看相关服务日志。</w:t>
      </w:r>
    </w:p>
    <w:p>
      <w:pPr>
        <w:pStyle w:val="8"/>
        <w:numPr>
          <w:ilvl w:val="3"/>
          <w:numId w:val="2"/>
        </w:numPr>
        <w:rPr>
          <w:rFonts w:hint="eastAsia" w:ascii="宋体" w:hAnsi="宋体" w:eastAsia="宋体" w:cs="宋体"/>
          <w:color w:val="000000" w:themeColor="text1"/>
        </w:rPr>
      </w:pPr>
      <w:r>
        <w:rPr>
          <w:rFonts w:hint="eastAsia" w:ascii="宋体" w:hAnsi="宋体" w:eastAsia="宋体" w:cs="宋体"/>
          <w:color w:val="000000" w:themeColor="text1"/>
        </w:rPr>
        <w:t>【指标12】引擎服务</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采用SOA设计理念，建立服务编排引擎、服务流程控制引擎、消息内容转换引擎、数据适配器、服务扩展引擎、服务集成引擎、服务管理引擎，实现数据交互和业务模块标准融合。</w:t>
      </w:r>
    </w:p>
    <w:p>
      <w:pPr>
        <w:pStyle w:val="5"/>
        <w:ind w:firstLine="31680"/>
        <w:rPr>
          <w:rFonts w:hint="eastAsia" w:ascii="宋体" w:hAnsi="宋体" w:eastAsia="宋体" w:cs="宋体"/>
          <w:b/>
          <w:bCs/>
          <w:color w:val="000000" w:themeColor="text1"/>
        </w:rPr>
      </w:pPr>
      <w:r>
        <w:rPr>
          <w:rFonts w:hint="eastAsia" w:ascii="宋体" w:hAnsi="宋体" w:eastAsia="宋体" w:cs="宋体"/>
          <w:b/>
          <w:bCs/>
          <w:color w:val="000000" w:themeColor="text1"/>
        </w:rPr>
        <w:t>投标人</w:t>
      </w:r>
      <w:r>
        <w:rPr>
          <w:rFonts w:hint="eastAsia" w:ascii="宋体" w:hAnsi="宋体" w:eastAsia="宋体" w:cs="宋体"/>
          <w:b/>
          <w:bCs/>
          <w:color w:val="000000" w:themeColor="text1"/>
          <w:lang w:val="en-US" w:eastAsia="zh-CN"/>
        </w:rPr>
        <w:t>投标文件中</w:t>
      </w:r>
      <w:r>
        <w:rPr>
          <w:rFonts w:hint="eastAsia" w:ascii="宋体" w:hAnsi="宋体" w:eastAsia="宋体" w:cs="宋体"/>
          <w:b/>
          <w:bCs/>
          <w:color w:val="000000" w:themeColor="text1"/>
        </w:rPr>
        <w:t>需对“服务编排引擎模块”展开描述。</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（1）服务编排引擎模块：建立业务需要服务编排，使用流程引擎实现多个不同服务、组件等进行编排重组，敏捷支撑面向业务的实现和重组。</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服务流程控制引擎模块：建立业务服务流程控制功能，适配业务需求控制服务的运行状态和质量，同时提供多种流程模式控制组件，比如顺序执行、扇出、消息过滤、消息分割、内容路由、动态路由、内容丰富、异常处理、事务处理等组件，提供用户快速构建流程。</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（3）消息内容转换引擎模块：建立消息内容的转换以及协议的转换功能；消息内容转换负责完成在不同的消息内容、格式间的转换，适配不同服务对消息格式的转换功能。</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数据适配器模块：建立各类数据适配器，通过适配器实现各类系统和服务平台衔接的桥梁，通过适配器之间的连接与服务引擎以及流程模块，可实现各种类型、数据服务标准及通讯协议的服务之间的接入和转换，实现适配器的重用。</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（5）服务扩展引擎模块：在遵循服务总线相关标准和规范的前提下设计开发新的服务扩展功能，可快速集成到服务总线上，并基于服务总线进行服务的配置、管理和快速发布，提供新的功能服务。</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（6）服务集成引擎模块：开发服务集成功能，通过服务生成、服务组装、流程建模、服务生成向导，服务调用示例、应用服务组件等一系列功能，实现对资源及原始功能的封装、集成、调用。</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7）服务管理引擎模块：开发服务管理功能，包括服务注册、服务变更、服务撤销、服务审批、服务批量审批、服务发布、服务批量发布、服务目录、条件查询服务列表、查询服务详情。同时提供对服务的分类管理功能。</w:t>
      </w:r>
    </w:p>
    <w:p>
      <w:pPr>
        <w:pStyle w:val="6"/>
        <w:numPr>
          <w:ilvl w:val="2"/>
          <w:numId w:val="2"/>
        </w:numPr>
        <w:rPr>
          <w:rFonts w:hint="eastAsia" w:ascii="宋体" w:hAnsi="宋体" w:eastAsia="宋体" w:cs="宋体"/>
          <w:color w:val="000000" w:themeColor="text1"/>
        </w:rPr>
      </w:pPr>
      <w:r>
        <w:rPr>
          <w:rFonts w:hint="eastAsia" w:ascii="宋体" w:hAnsi="宋体" w:eastAsia="宋体" w:cs="宋体"/>
          <w:color w:val="000000" w:themeColor="text1"/>
        </w:rPr>
        <w:t>【指标13】技术指标</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应用系统的性能应满足业务处理流程的要求，稳定、可靠、实用，人机界面友好，输入输出便捷，查询功能简单明了。</w:t>
      </w:r>
    </w:p>
    <w:p>
      <w:pPr>
        <w:pStyle w:val="43"/>
        <w:ind w:firstLine="31680"/>
        <w:rPr>
          <w:rFonts w:hint="eastAsia" w:ascii="宋体" w:hAnsi="宋体" w:eastAsia="宋体" w:cs="宋体"/>
          <w:color w:val="000000" w:themeColor="text1"/>
        </w:rPr>
      </w:pPr>
      <w:bookmarkStart w:id="4" w:name="_Toc111794246"/>
      <w:r>
        <w:rPr>
          <w:rFonts w:hint="eastAsia" w:ascii="宋体" w:hAnsi="宋体" w:eastAsia="宋体" w:cs="宋体"/>
          <w:color w:val="000000" w:themeColor="text1"/>
        </w:rPr>
        <w:t>（1）单点登录</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对接福建省突发事件预警信息发布系统，需要对接该系统身份认证体系，实现单点登录。</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（2）用户并发量</w:t>
      </w:r>
      <w:bookmarkEnd w:id="4"/>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系统采用多层结构的系统优化、数据库优化，运用缓存和负载均衡辅助技术提升系统性能，支持典型功能在1000人并发情况下，服务器响应时间在3秒之内。</w:t>
      </w:r>
    </w:p>
    <w:p>
      <w:pPr>
        <w:pStyle w:val="43"/>
        <w:ind w:firstLine="31680"/>
        <w:rPr>
          <w:rFonts w:hint="eastAsia" w:ascii="宋体" w:hAnsi="宋体" w:eastAsia="宋体" w:cs="宋体"/>
          <w:color w:val="000000" w:themeColor="text1"/>
        </w:rPr>
      </w:pPr>
      <w:bookmarkStart w:id="5" w:name="_Toc111794247"/>
      <w:r>
        <w:rPr>
          <w:rFonts w:hint="eastAsia" w:ascii="宋体" w:hAnsi="宋体" w:eastAsia="宋体" w:cs="宋体"/>
          <w:color w:val="000000" w:themeColor="text1"/>
        </w:rPr>
        <w:t>（3）响应速度</w:t>
      </w:r>
      <w:bookmarkEnd w:id="5"/>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系统满足主要功能在单点操作下响应时间在3秒之内；对于数据分析操作，复杂的统计报表生成时间应在5秒之内；实现文本信息交换的响应时间在1s以内，并且采用消息中间件对数据交换进行管理。</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（4）关键技术参数</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1）系统架构要求</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要求设计能够支撑大量数据流转、复杂业务计算以及自动化运维的轻量级分布式系统架构；技术上，基于微服务架构，能够实现敏捷开发与部署；在业务应用上，能够具备良好的可扩展性。</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2）系统功能要求</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A.要求平台实现应用节点进行管理和业务流程个性化配置，以适应个性化需求。</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B.要求能够根据系统提供的数据接入共享规范自行开发跨部门服务适配器，经过授权，能够自动完成适配器的“上线”运行。</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C.支持跨区域、跨部门、跨系统的数据共享和多部门串行、并行的业务协同。</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D.支持RESTful服务发布。</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E.要求至少可以提供用户认证、资源授权、内容加密、访问防护等数据安全手段。</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F.支持在线服务发现、有效服务自主续约、服务超时及时熔断和服务失效自动剔除等功能。</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G.支持服务查询和服务下线，允许系统用户查询当前有效的所有数据服务，系统管理人员也可基于服务下线功能手工剔除不合规的服务。</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H.支持服务或流程人工干预，包括流程的启动和停止操作，允许查看当前流程实例的具体情况，主要包括流程详情、状态与关联部门信息。</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I.实时监控应用节点和协同服务，并针对节点性能和服务状况生成监控报告，主要包括服务的服务响应时间、正确率、失败率、消息数、错误数、重试次数、并发数、稳定性和节点的各个项目的运行时长、各个节点的健康状况（包括CPU、内存、磁盘、服务可用性等）。</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szCs w:val="24"/>
        </w:rPr>
        <w:t>J.支持自动化应用节点部署配置。</w:t>
      </w:r>
    </w:p>
    <w:p>
      <w:pPr>
        <w:pStyle w:val="43"/>
        <w:ind w:firstLine="31680"/>
        <w:rPr>
          <w:rFonts w:hint="eastAsia" w:ascii="宋体" w:hAnsi="宋体" w:eastAsia="宋体" w:cs="宋体"/>
          <w:color w:val="000000" w:themeColor="text1"/>
          <w:szCs w:val="24"/>
        </w:rPr>
      </w:pPr>
    </w:p>
    <w:p>
      <w:pPr>
        <w:pStyle w:val="41"/>
        <w:jc w:val="both"/>
        <w:rPr>
          <w:rFonts w:hint="eastAsia" w:ascii="宋体" w:hAnsi="宋体" w:eastAsia="宋体" w:cs="宋体"/>
          <w:color w:val="000000" w:themeColor="text1"/>
          <w:sz w:val="24"/>
          <w:szCs w:val="24"/>
          <w:shd w:val="clear" w:color="auto" w:fill="FFFFFF"/>
        </w:rPr>
      </w:pPr>
    </w:p>
    <w:p>
      <w:pPr>
        <w:pStyle w:val="41"/>
        <w:ind w:firstLine="480"/>
        <w:jc w:val="center"/>
        <w:rPr>
          <w:rFonts w:hint="eastAsia" w:ascii="宋体" w:hAnsi="宋体" w:eastAsia="宋体" w:cs="宋体"/>
          <w:b/>
          <w:color w:val="000000" w:themeColor="text1"/>
          <w:sz w:val="24"/>
          <w:szCs w:val="24"/>
        </w:rPr>
      </w:pPr>
      <w:r>
        <w:rPr>
          <w:rFonts w:hint="eastAsia" w:ascii="宋体" w:hAnsi="宋体" w:eastAsia="宋体" w:cs="宋体"/>
          <w:b/>
          <w:color w:val="000000" w:themeColor="text1"/>
          <w:sz w:val="24"/>
          <w:szCs w:val="24"/>
        </w:rPr>
        <w:t>品目号1-2、“链上预警”数据区块链应用服务分系统</w:t>
      </w:r>
    </w:p>
    <w:p>
      <w:pPr>
        <w:pStyle w:val="4"/>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2.1“链上预警”数据区块链应用服务分系统建设内容</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基于福建省电子政务云计算平台的数字福建主链应用服务技术平台，建设预警信息发布全流程可追溯的区块链应用管理。建设内容包括：预警信息区块链管理应用子链、区块链应用管理、预警信息链上数据库、数据接口与对接。</w:t>
      </w:r>
    </w:p>
    <w:p>
      <w:pPr>
        <w:snapToGrid w:val="0"/>
        <w:spacing w:beforeLines="50" w:afterLines="50"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系统集成服务，实现本采购建设内容集成到福建省突发事件预警信息发布系统中</w:t>
      </w:r>
      <w:r>
        <w:rPr>
          <w:rFonts w:hint="eastAsia" w:ascii="宋体" w:hAnsi="宋体" w:eastAsia="宋体" w:cs="宋体"/>
          <w:color w:val="000000" w:themeColor="text1"/>
          <w:sz w:val="24"/>
          <w:szCs w:val="24"/>
          <w:lang w:val="en-US" w:eastAsia="zh-CN"/>
        </w:rPr>
        <w:t>所承担的相关工作</w:t>
      </w:r>
      <w:r>
        <w:rPr>
          <w:rFonts w:hint="eastAsia" w:ascii="宋体" w:hAnsi="宋体" w:eastAsia="宋体" w:cs="宋体"/>
          <w:color w:val="000000" w:themeColor="text1"/>
          <w:sz w:val="24"/>
          <w:szCs w:val="24"/>
        </w:rPr>
        <w:t>。</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2.1.1【指标14】“链上预警”数据区块链应用服务分系统</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基于福建省电子政务云计算平台的数字福建主链应用服务技术平台，建设预警信息发布全流程可追溯的区块链应用管理。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“链上预警”数据区块链应用服务分系统中子链部署所需资源由投标人自行提供。</w:t>
      </w:r>
      <w:r>
        <w:rPr>
          <w:rFonts w:hint="eastAsia" w:ascii="宋体" w:hAnsi="宋体" w:eastAsia="宋体" w:cs="宋体"/>
          <w:b/>
          <w:bCs/>
          <w:color w:val="000000" w:themeColor="text1"/>
          <w:sz w:val="24"/>
          <w:szCs w:val="24"/>
        </w:rPr>
        <w:t>（投标人需提供承诺函，格式自拟）</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2.2.2预警信息区块链管理应用子链子系统</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预警信息区块链管理应用子链子系统通过智能合约方式实施预警发布数据自动上链存证，利用区块链浏览器实施链上预警数据查询和验证，建设功能有联盟链搭建、智能合约开发、隐私数据开发。</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2.2.2.1【指标15】数据网关开发服务模块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建立预警信息管理应用子链各节点数据通道，提取预警业务数据库的数据或接取各部门单位主动推送到节点上的数据以及明文数据的调阅。</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需要对数据网关开发服务模块进行解释，明确数据格式标准、传输协议等要求。</w:t>
      </w:r>
    </w:p>
    <w:p>
      <w:pPr>
        <w:pStyle w:val="9"/>
        <w:numPr>
          <w:ilvl w:val="5"/>
          <w:numId w:val="0"/>
        </w:numPr>
        <w:rPr>
          <w:rFonts w:hint="eastAsia" w:ascii="宋体" w:hAnsi="宋体" w:eastAsia="宋体" w:cs="宋体"/>
          <w:color w:val="000000" w:themeColor="text1"/>
        </w:rPr>
      </w:pPr>
      <w:r>
        <w:rPr>
          <w:rFonts w:hint="eastAsia" w:ascii="宋体" w:hAnsi="宋体" w:eastAsia="宋体" w:cs="宋体"/>
          <w:color w:val="000000" w:themeColor="text1"/>
        </w:rPr>
        <w:t>2.2.2.2区块链节点部署服务模块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根据功能划分建立管理节点、记账节点、背书节点和服务节点等。各类节点共同协作，接收上链请求、排序请求、生成区块、验证请求，最终形成区块，将普通数据转化为区块链数据。</w:t>
      </w:r>
    </w:p>
    <w:p>
      <w:pPr>
        <w:pStyle w:val="9"/>
        <w:numPr>
          <w:ilvl w:val="5"/>
          <w:numId w:val="0"/>
        </w:numPr>
        <w:rPr>
          <w:rFonts w:hint="eastAsia" w:ascii="宋体" w:hAnsi="宋体" w:eastAsia="宋体" w:cs="宋体"/>
          <w:color w:val="000000" w:themeColor="text1"/>
        </w:rPr>
      </w:pPr>
      <w:r>
        <w:rPr>
          <w:rFonts w:hint="eastAsia" w:ascii="宋体" w:hAnsi="宋体" w:eastAsia="宋体" w:cs="宋体"/>
          <w:color w:val="000000" w:themeColor="text1"/>
        </w:rPr>
        <w:t>2.2.2.3智能合约服务模块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利用智能合约实施信息的传播、验证或执行合同。福建预警发布系统或多手段发布平台、信息接入平台调用智能合约服务接口。</w:t>
      </w:r>
    </w:p>
    <w:p>
      <w:pPr>
        <w:pStyle w:val="9"/>
        <w:numPr>
          <w:ilvl w:val="5"/>
          <w:numId w:val="0"/>
        </w:numPr>
        <w:rPr>
          <w:rFonts w:hint="eastAsia" w:ascii="宋体" w:hAnsi="宋体" w:eastAsia="宋体" w:cs="宋体"/>
          <w:color w:val="000000" w:themeColor="text1"/>
        </w:rPr>
      </w:pPr>
      <w:r>
        <w:rPr>
          <w:rFonts w:hint="eastAsia" w:ascii="宋体" w:hAnsi="宋体" w:eastAsia="宋体" w:cs="宋体"/>
          <w:color w:val="000000" w:themeColor="text1"/>
        </w:rPr>
        <w:t>2.2.2.4数据隐私保护服务模块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设计和开发区块链数据加密，对数据上链和流通进行数据加密。</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2.2.3 区块链应用管理子系统</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区块链应用管理子系统开发对外统一接口服务，建立上层应用调用接口，调用智能合约，写入或查询链上预警信息、区块交易信息和监听区块链事件。建设功能包括预警信息数据上链、预警信息发布数字签名、预警响应工作台账、预警发布职能对象监管、区块链浏览器。</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2.2.3.1预警信息数据上链模块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利用接口和D2D数据网关服务，开发实施预警信息发布录入、审核、签发、审批、复核数据，日志数据，预警发布传播状态数据上链。</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2.2.3.2预警信息发布数字签名模块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开发各系统用户注册账号、登录账户采用区块链证书和数字签名功能应用。</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2.2.3.3预警响应工作台账模块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建立省、市、县、乡镇、村（社区）五级各职能部门预警响应工作台账。</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2.2.3.4预警发布职能对象监管模块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利用预警信息链上数据，对各职能部门的预警发布、响应工作，及预警信息传播情况进行监管，并建设大数据看板。</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2.2.3.5【指标16】区块链浏览器模块</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开发链上数据查询、验真和溯源入口，监管部门及各职能部门可以查看到已上传预警信息数据的上链记录，提供预警信息发布相关数据的下载功能和验证功能。</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需要提供福建省“链上预警”数据区块链应用管理系统业务流程图。</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2.2.4预警信息链上数据库子系统</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信息链上数据库子系统开发福建预警发布系统数据采集接口，采集、存储预警发布传播全过程数据，数据种类含各部门单位共享数据、业务系统接入数据、“录入、审核、签发、审批、复核”状态、监控监测数据等，需设计多角色权限控制逻辑，实现调用智能合约，加密处理、上链存证等能力。</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2.2.4.1智能合约存储</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需要将部署成功的智能合约存储在链上数据库中，包含智能合约名称、版本、编程语言等信息，实现对智能合约的版本管理。</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2.2.4.2加密处理</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利用SM2、SM3加密算法对上链数据进行加密，强化相邻区块数据之间的关联关系。通过对上链数据的加密保证数据的存储安全，防止对链上数据的随意篡改。</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2.2.4.3业务数据存证</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通过上链接口获取到业务数据，将业务数据进入落库存证，实现普通业务数据向区块链数据的转化。</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2.2.5数据接口与对接</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数据接口与对接子系统开发WebService调用接口、数据库服务接口和接口控件，采用接口方式实施与福建预警发布系统或其它平台、数据采集网关等第三方平台的数据交互。</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数据接口种类包括SDK工具包和API函数接口，API函数接口包含了数据上链接口、数据查询接口、数据验真接口、数据溯源接口等，在调用前使用调用者的私钥进行签名，确定调用者的身份。</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2.2.5.1【指标17】数据接口</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需要实现以下三个接口数据开发设计：</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（1）与福建预警发布系统对接接口模块：开发API接口，实现与预警发布系统对接。</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（2）微服务系统接口模块：开发预留接口，与移动端微服务系统数据接口，实现预警信息发布的移动端审核、签发、审批、复核等全流程数据上链。</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（3）第三方业务系统对接接口模块：开发预留接口，实现与各级业务部门或相关业务平台数据对接。</w:t>
      </w:r>
    </w:p>
    <w:p>
      <w:pPr>
        <w:pStyle w:val="7"/>
        <w:spacing w:before="156" w:after="156"/>
        <w:ind w:firstLine="31680"/>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投标人</w:t>
      </w:r>
      <w:r>
        <w:rPr>
          <w:rFonts w:hint="eastAsia" w:ascii="宋体" w:hAnsi="宋体" w:eastAsia="宋体" w:cs="宋体"/>
          <w:b/>
          <w:bCs/>
          <w:color w:val="000000" w:themeColor="text1"/>
          <w:sz w:val="24"/>
          <w:szCs w:val="24"/>
          <w:lang w:val="en-US" w:eastAsia="zh-CN"/>
        </w:rPr>
        <w:t>投标文件中</w:t>
      </w:r>
      <w:r>
        <w:rPr>
          <w:rFonts w:hint="eastAsia" w:ascii="宋体" w:hAnsi="宋体" w:eastAsia="宋体" w:cs="宋体"/>
          <w:b/>
          <w:bCs/>
          <w:color w:val="000000" w:themeColor="text1"/>
          <w:sz w:val="24"/>
          <w:szCs w:val="24"/>
        </w:rPr>
        <w:t>需要提供接口调用示例或模板。</w:t>
      </w:r>
    </w:p>
    <w:p>
      <w:pPr>
        <w:pStyle w:val="8"/>
        <w:numPr>
          <w:ilvl w:val="4"/>
          <w:numId w:val="0"/>
        </w:numPr>
        <w:rPr>
          <w:rFonts w:hint="eastAsia" w:ascii="宋体" w:hAnsi="宋体" w:eastAsia="宋体" w:cs="宋体"/>
          <w:color w:val="000000" w:themeColor="text1"/>
          <w:szCs w:val="24"/>
        </w:rPr>
      </w:pPr>
      <w:r>
        <w:rPr>
          <w:rFonts w:hint="eastAsia" w:ascii="宋体" w:hAnsi="宋体" w:eastAsia="宋体" w:cs="宋体"/>
          <w:color w:val="000000" w:themeColor="text1"/>
          <w:szCs w:val="24"/>
        </w:rPr>
        <w:t>2.2.5.2数据对接</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对接福建省突发事件预警信息发布系统，需要对接该系统身份认证体系，实现单点登录；并需要将上链数据展示界面集成到福建省突发事件预警信息发布系统。</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2.2.6技术指标</w:t>
      </w:r>
    </w:p>
    <w:p>
      <w:pPr>
        <w:pStyle w:val="7"/>
        <w:spacing w:before="156" w:after="156"/>
        <w:ind w:firstLine="3168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技术上达到预警信息数据的公开、透明、唯一、不可抵赖性，实现预警业务可上链、过程可存证、信息可追溯、反馈可触达、多端可参与。</w:t>
      </w:r>
    </w:p>
    <w:p>
      <w:pPr>
        <w:pStyle w:val="7"/>
        <w:spacing w:before="156" w:after="156"/>
        <w:ind w:firstLine="31680"/>
        <w:rPr>
          <w:rFonts w:hint="eastAsia" w:ascii="宋体" w:hAnsi="宋体" w:eastAsia="宋体" w:cs="宋体"/>
          <w:color w:val="000000" w:themeColor="text1"/>
        </w:rPr>
      </w:pPr>
      <w:r>
        <w:rPr>
          <w:rFonts w:hint="eastAsia" w:ascii="宋体" w:hAnsi="宋体" w:eastAsia="宋体" w:cs="宋体"/>
          <w:color w:val="000000" w:themeColor="text1"/>
          <w:sz w:val="24"/>
          <w:szCs w:val="24"/>
        </w:rPr>
        <w:t>在多人（1000人以上）同时使用的情况下系统需运行流畅、稳定；网络和本地查询响应速度小于5秒。</w:t>
      </w:r>
    </w:p>
    <w:p>
      <w:pPr>
        <w:pStyle w:val="41"/>
        <w:ind w:firstLine="480"/>
        <w:jc w:val="both"/>
        <w:rPr>
          <w:rFonts w:hint="eastAsia" w:ascii="宋体" w:hAnsi="宋体" w:eastAsia="宋体" w:cs="宋体"/>
          <w:color w:val="000000" w:themeColor="text1"/>
          <w:sz w:val="24"/>
          <w:szCs w:val="24"/>
          <w:shd w:val="clear" w:color="auto" w:fill="FFFFFF"/>
        </w:rPr>
      </w:pPr>
    </w:p>
    <w:p>
      <w:pPr>
        <w:pStyle w:val="41"/>
        <w:ind w:firstLine="480"/>
        <w:jc w:val="center"/>
        <w:rPr>
          <w:rFonts w:hint="eastAsia" w:ascii="宋体" w:hAnsi="宋体" w:eastAsia="宋体" w:cs="宋体"/>
          <w:b/>
          <w:color w:val="000000" w:themeColor="text1"/>
          <w:sz w:val="24"/>
          <w:szCs w:val="24"/>
        </w:rPr>
      </w:pPr>
      <w:r>
        <w:rPr>
          <w:rFonts w:hint="eastAsia" w:ascii="宋体" w:hAnsi="宋体" w:eastAsia="宋体" w:cs="宋体"/>
          <w:b/>
          <w:color w:val="000000" w:themeColor="text1"/>
          <w:sz w:val="24"/>
          <w:szCs w:val="24"/>
        </w:rPr>
        <w:t>品目号1-3、预警发布评估与反馈服务分系统</w:t>
      </w:r>
    </w:p>
    <w:p>
      <w:pPr>
        <w:pStyle w:val="4"/>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3.1预警发布评估与反馈服务分系统建设内容</w:t>
      </w:r>
    </w:p>
    <w:p>
      <w:pPr>
        <w:snapToGrid w:val="0"/>
        <w:spacing w:beforeLines="50" w:afterLines="50" w:line="360" w:lineRule="auto"/>
        <w:ind w:firstLine="480" w:firstLineChars="200"/>
        <w:contextualSpacing/>
        <w:rPr>
          <w:rFonts w:hint="eastAsia" w:ascii="宋体" w:hAnsi="宋体" w:eastAsia="宋体" w:cs="宋体"/>
          <w:color w:val="000000" w:themeColor="text1"/>
          <w:sz w:val="24"/>
          <w:szCs w:val="24"/>
          <w:lang w:val="en-US" w:eastAsia="zh-CN"/>
        </w:rPr>
      </w:pPr>
      <w:r>
        <w:rPr>
          <w:rFonts w:hint="eastAsia" w:ascii="宋体" w:hAnsi="宋体" w:eastAsia="宋体" w:cs="宋体"/>
          <w:color w:val="000000" w:themeColor="text1"/>
          <w:sz w:val="24"/>
          <w:szCs w:val="24"/>
        </w:rPr>
        <w:t>建立预警信息发布传播评价指标，实施定性定量效益评价，包括统计分析展示、总结评估、评估管理、效果评估、案例库管理、案例分析和用户反馈分析。预警发布评估与反馈服务分系统应用软件拟部署在福建省政务云平台，建立预警信息发布传播评价指标，实施定性定量效益评价，包括统计分析展示、总结评估、评估管理、效果评估、案例库管理、案例分析和用户反馈分析。建设内容包括: 评估效果统计分析展示子系统、总结评估子系统、评估管理子系统、效果评估子系统、案例库管理子系统、案例分析子系统和用户反馈分析子系统。</w:t>
      </w:r>
      <w:r>
        <w:rPr>
          <w:rFonts w:hint="eastAsia" w:ascii="宋体" w:hAnsi="宋体" w:eastAsia="宋体" w:cs="宋体"/>
          <w:color w:val="000000" w:themeColor="text1"/>
          <w:sz w:val="24"/>
          <w:szCs w:val="24"/>
          <w:lang w:val="en-US" w:eastAsia="zh-CN"/>
        </w:rPr>
        <w:t xml:space="preserve">  </w:t>
      </w:r>
    </w:p>
    <w:p>
      <w:pPr>
        <w:snapToGrid w:val="0"/>
        <w:spacing w:before="156" w:beforeLines="50" w:after="156" w:afterLines="50"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系统集成服务，实现本采购建设内容集成到福建省突发事件预警信息发布系统中</w:t>
      </w:r>
      <w:r>
        <w:rPr>
          <w:rFonts w:hint="eastAsia" w:ascii="宋体" w:hAnsi="宋体" w:eastAsia="宋体" w:cs="宋体"/>
          <w:color w:val="000000" w:themeColor="text1"/>
          <w:sz w:val="24"/>
          <w:szCs w:val="24"/>
          <w:lang w:val="en-US" w:eastAsia="zh-CN"/>
        </w:rPr>
        <w:t>所承担的相关工作</w:t>
      </w:r>
      <w:r>
        <w:rPr>
          <w:rFonts w:hint="eastAsia" w:ascii="宋体" w:hAnsi="宋体" w:eastAsia="宋体" w:cs="宋体"/>
          <w:color w:val="000000" w:themeColor="text1"/>
          <w:sz w:val="24"/>
          <w:szCs w:val="24"/>
        </w:rPr>
        <w:t>。</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3.1.1【指标18】评估效果统计分析展示子系统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评估效果统计分析展示子系统实现对预警信息发布和传播的数量、发布效果、发布范围的实时监测、统计分析与展示。</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效果统计分析模块：开发信息发布效果及反馈信息统计和分析，形成预警信息发布效果追踪等态势。支持多维度指标分析，整合历史数据与实时反馈，通过趋势对比、精准定位发布薄弱环节，为优化预警策略提供数据支撑。</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（2）评估效果展示模块：按评估类别、评估时间等查询条件开发查询、展示，报表生成。支持多维度分析及数据下钻，实现评估结果的直观呈现与深度数据挖掘，并生成相应报表。</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（3）过程追溯模块：以统计分析图、表格等形式开发预警信息发布数据展现、信息回放过程。支持按时间轴、发布渠道等维度进行追溯，实现预警发布全流程的可视化回溯与细节复盘。</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3.1.2【指标19】总结评估子系统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总结评估子系统依据预警信息发布相关评价指标体系和评估模型，实现面向不同用户和不同传播渠道的定性定量的总结、分析与评价，研究并计算各项评估指标值，生成分析报告并提供定制与分发服务。</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风险研判结果评估模块：对风险研判结果进行评估分析，生成分析报告，且对评估方法及过程进行归档。该模块可接入多源数据，构建量化指标体系，支持自动生成含数据图表、关键结论的结构化报告，并进行全流程归档，形成可追溯的评估过程数字档案。</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（2）行业模型结果评估模块：使用历史数据或者</w:t>
      </w: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HYPERLINK "https://wiki.mbalib.com/wiki/%E5%AE%9E%E9%99%85%E6%95%B0%E6%8D%AE" \t "/Users/taojing/Documents\x/_blank"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sz w:val="24"/>
          <w:szCs w:val="24"/>
        </w:rPr>
        <w:t>实际数据</w:t>
      </w:r>
      <w:r>
        <w:rPr>
          <w:rFonts w:hint="eastAsia" w:ascii="宋体" w:hAnsi="宋体" w:eastAsia="宋体" w:cs="宋体"/>
          <w:color w:val="000000" w:themeColor="text1"/>
          <w:sz w:val="24"/>
          <w:szCs w:val="24"/>
        </w:rPr>
        <w:fldChar w:fldCharType="end"/>
      </w:r>
      <w:r>
        <w:rPr>
          <w:rFonts w:hint="eastAsia" w:ascii="宋体" w:hAnsi="宋体" w:eastAsia="宋体" w:cs="宋体"/>
          <w:color w:val="000000" w:themeColor="text1"/>
          <w:sz w:val="24"/>
          <w:szCs w:val="24"/>
        </w:rPr>
        <w:t>对所建立的行业模型的精确度、适用性等进行评估分析，生成分析报告。</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灾害影响结果评估模块：对灾害影响结果的社会效益和经济效益进行评估，生成分析报告。整合多源数据，运用定量分析与定性评估相结合的方法，构建涵盖人员伤亡、基础设施损毁、产业经济损失等维度的评估指标体系，生成包含经济效益与社会影响的分析报告，为政府决策和社会资源调配提供科学依据。</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（4）效益评估与分析模块：建立评估模型和评估标准，进行用户使用的效益评估和分析，从时间维度分析不同阶段的效益变化趋势，形成评估分析报告。</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3.1.3【指标20】评估管理子系统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评估管理子系统对评估的模型进行统一管理，完成对评估模型、评估参数、评估类别的增加、修改、删除、查询等操作，对评估方式进行管理，完成评估报告模板的制作及评估报告的查询、查看、修改、下载等功能。</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评估参数管理模块：开发评估参数的增加、删除、修改、查询等操作。在参数新增与修改时，系统会自动进行格式校验、唯一性检查，确保参数的有效性和一致性，模块内置操作日志系统，实时记录参数变更历史。</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评估模型管理模块：开发评估模型统一管理，实施评估模型的增加、修改、删除、查询等操作。对于增加操作，提供详细的模板，确保新模型信息完整准确录入，模块内置操作日志系统，实时记录模型变更历史。</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（3）评估类别管理模块：开发评估方式管理，实施评估类别的增加、修改、删除、查询等操作，模块内置操作日志系统，实时记录评估类别变更历史。</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（4）评估报告管理模块：开发预警发布效果评估报告模板和评估报告的管理，报告数据与其他评估模块数据联动，确保报告内容的准确性和实时性。</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（5）评估指标管理模块：</w:t>
      </w:r>
    </w:p>
    <w:p>
      <w:pPr>
        <w:numPr>
          <w:ilvl w:val="0"/>
          <w:numId w:val="4"/>
        </w:numPr>
        <w:spacing w:line="360" w:lineRule="auto"/>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预警发布和传播的覆盖与送达：预警覆盖与送达效果评估是一级指标，包括灾害过程预警公众覆盖率、灾害过程预警公众送达率、灾害过程预警应急责任人送达率、预警信息影响面积和人口4个二级指标。</w:t>
      </w:r>
    </w:p>
    <w:p>
      <w:pPr>
        <w:numPr>
          <w:ilvl w:val="0"/>
          <w:numId w:val="4"/>
        </w:numPr>
        <w:spacing w:line="360" w:lineRule="auto"/>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预警精准与叫应效果评估：主要衡量全国县级气象部门根据当地已建立的预警叫应规则开展高级别气象灾害预警叫应工作的情况和及时性。主要包括预警叫应率、预警叫应准确率、预警叫应及时性、预警叫应部门联动率。</w:t>
      </w:r>
    </w:p>
    <w:p>
      <w:pPr>
        <w:numPr>
          <w:ilvl w:val="0"/>
          <w:numId w:val="4"/>
        </w:numPr>
        <w:spacing w:line="360" w:lineRule="auto"/>
        <w:rPr>
          <w:rFonts w:hint="eastAsia" w:ascii="宋体" w:hAnsi="宋体" w:eastAsia="宋体" w:cs="宋体"/>
          <w:color w:val="000000" w:themeColor="text1"/>
        </w:rPr>
      </w:pPr>
      <w:r>
        <w:rPr>
          <w:rFonts w:hint="eastAsia" w:ascii="宋体" w:hAnsi="宋体" w:eastAsia="宋体" w:cs="宋体"/>
          <w:color w:val="000000" w:themeColor="text1"/>
          <w:sz w:val="24"/>
          <w:szCs w:val="24"/>
        </w:rPr>
        <w:t>预警传播与评价效果评估：预警传播与评价部分包括2项指标：预警用户满意度、预警关注度。预警用户满意度是指预警用户接受并使用预警信息的程度。预警关注度是指预警信息通过渠道传播出去后阅读/播放的程度。</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3.1.4【指标21】效果评估子系统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效果评估子系统针对不同的预警信息发布手段进行评估，结合预警信息发布渠道，评估各种手段预警信息发布效果，包括预警信息接收反馈、覆盖范围、发布状态等。接收预警信息发布过程的反馈信息，对预警信息发布的效果和结果是否符合预期目标进行评估，用以指导预警信息发布全流程，提高预警信息发布的效率和效果，形成新的发布策略或对原有的策略进行改善，为同类突发事件预警信息发布工作提供参考依据。</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（1）空间覆盖率评估模块：渠道/终端空间覆盖率评估模型构建、总体空间覆盖率模型构建、空间覆盖率评估结果可视化展示等内容。</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（2）人员覆盖率评估模块：渠道/终端人员覆盖率评估模型构建、总体人群覆盖率模型构建、人群覆盖率评估结果可视化展示。</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（3）时效性评估模块：渠道/终端时效性评估模型构建、总体时效性模型构建、时效性评估结果可视化展示等。</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（4）经济影响评估模块：以统计学和数学模拟的方法，基于现有的历史损失记录，计算灾害发生的可能性和频率。</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3.1.5【指标22】案例库管理子系统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案例库管理子系统依据突发事件分级分类指标体系，建设预警减灾典型事件案例库和知识库，实现人工收集整理与自动采集相结合的突发事件预警信息发布典型案例库管理系统。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（1）突发事件典型案例库制作与共享模块：建立突发事件典型案例共享数据库，实现案例的共享与实时检索、查询和快速调用功能。</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（2）突发事件防御知识库制作与共享模块：建立公共事件防御知识库，实现防御知识库的共享，实时检索、查询和快速调用功能。</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3.1.6案例分析子系统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案例分析子系统依据案例数据分析评价指标体系与分析模型，实现舆情分析与关键词提取，案例库和知识库的多目标检索分析和报告生成。</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突发事件案例分析基础数据调取模块：建立突发事件案例分析基础数据调取模块，实现对案例库数据、防御知识库数据、舆情和关键词数据以及基础地理信息和灾害风险评估等多类数据的实时多目标检索、比对与调取。</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（2）案例数据分析关联模块：实现对多目标检索和调取的数据进行关联分析，以及结果的检验与订正。</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（3）案例分析产品制作与分发模块：基于数据分析的基础上制作案例分析产品，实现案例分析产品的分级定制分发。</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3.1.7用户反馈分析子系统</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用户反馈分析子系统建设基于用户体验的数据采集与反馈分析系统，实现反馈信息多手段采集、效益评估与分析，用于改善用户体验和改进业务流程。</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（1）用户体验与反馈数据采集模块：建设从用户角度出发的体验与反馈数据采集模块，多尺度采集用户体验和反馈数据。</w:t>
      </w:r>
    </w:p>
    <w:p>
      <w:pPr>
        <w:spacing w:line="360" w:lineRule="auto"/>
        <w:ind w:firstLine="480" w:firstLineChars="2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（2）用户服务需求反馈与推介模块：实现反馈信息多手段采集数据，科学客观进行效益评估与分析，提出用户服务需求反馈，实现与用户有效交流与推介。</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3.1.8数据接口对接</w:t>
      </w:r>
    </w:p>
    <w:p>
      <w:pPr>
        <w:pStyle w:val="43"/>
        <w:ind w:firstLine="31680"/>
        <w:rPr>
          <w:rFonts w:hint="eastAsia" w:ascii="宋体" w:hAnsi="宋体" w:eastAsia="宋体" w:cs="宋体"/>
          <w:color w:val="000000" w:themeColor="text1"/>
          <w:szCs w:val="24"/>
        </w:rPr>
      </w:pPr>
      <w:r>
        <w:rPr>
          <w:rFonts w:hint="eastAsia" w:ascii="宋体" w:hAnsi="宋体" w:eastAsia="宋体" w:cs="宋体"/>
          <w:color w:val="000000" w:themeColor="text1"/>
        </w:rPr>
        <w:t>建立预警效果评估数据库,对预警评估指标结果进行存储管理。采用接口技术，根据各评估指标计算方法，开发各评估指标计算接口程序，并实现各评估指标的修改、更新、删除、导出等功能。建立访问预警、叫应、联动数据,各行政区覆盖率、送达率基础数据管理，各渠道展示/播放（阅读）数据，行政区划及人口面积等数据的导入接口程序。</w:t>
      </w:r>
    </w:p>
    <w:p>
      <w:pPr>
        <w:pStyle w:val="6"/>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3.1.9【指标2</w:t>
      </w:r>
      <w:r>
        <w:rPr>
          <w:rFonts w:hint="eastAsia" w:ascii="宋体" w:hAnsi="宋体" w:eastAsia="宋体" w:cs="宋体"/>
          <w:color w:val="000000" w:themeColor="text1"/>
          <w:sz w:val="24"/>
          <w:szCs w:val="24"/>
          <w:lang w:val="en-US" w:eastAsia="zh-CN"/>
        </w:rPr>
        <w:t>3</w:t>
      </w:r>
      <w:r>
        <w:rPr>
          <w:rFonts w:hint="eastAsia" w:ascii="宋体" w:hAnsi="宋体" w:eastAsia="宋体" w:cs="宋体"/>
          <w:color w:val="000000" w:themeColor="text1"/>
          <w:sz w:val="24"/>
          <w:szCs w:val="24"/>
        </w:rPr>
        <w:t>】技术指标</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系统要求注重界面布局、菜单的设计、应用展示等方面的设计，遵循友好、直观，简洁的设计思路，体现对用户使用过程的正确引导。</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（1）单点登录</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对接福建省突发事件预警信息发布系统，需要对接该系统身份认证体系，实现单点登录。</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（2）用户并发量</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系统采用多层结构的系统优化、数据库优化，运用缓存和负载均衡辅助技术提升系统性能，支持典型功能在1000人并发情况下，服务器响应时间在3秒之内。</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（3）响应速度</w:t>
      </w:r>
    </w:p>
    <w:p>
      <w:pPr>
        <w:pStyle w:val="43"/>
        <w:ind w:firstLine="31680"/>
        <w:rPr>
          <w:rFonts w:hint="eastAsia" w:ascii="宋体" w:hAnsi="宋体" w:eastAsia="宋体" w:cs="宋体"/>
          <w:color w:val="000000" w:themeColor="text1"/>
        </w:rPr>
      </w:pPr>
      <w:r>
        <w:rPr>
          <w:rFonts w:hint="eastAsia" w:ascii="宋体" w:hAnsi="宋体" w:eastAsia="宋体" w:cs="宋体"/>
          <w:color w:val="000000" w:themeColor="text1"/>
        </w:rPr>
        <w:t>系统满足主要功能在单点操作下响应时间在3秒之内；对于数据分析操作，复杂的统计报表生成时间应在5秒之内。</w:t>
      </w:r>
    </w:p>
    <w:p>
      <w:pPr>
        <w:pStyle w:val="41"/>
        <w:jc w:val="both"/>
        <w:rPr>
          <w:rFonts w:hint="eastAsia" w:ascii="宋体" w:hAnsi="宋体" w:eastAsia="宋体" w:cs="宋体"/>
          <w:b/>
          <w:color w:val="000000" w:themeColor="text1"/>
          <w:sz w:val="24"/>
          <w:szCs w:val="24"/>
        </w:rPr>
      </w:pPr>
    </w:p>
    <w:p>
      <w:pPr>
        <w:pStyle w:val="41"/>
        <w:ind w:firstLine="480"/>
        <w:jc w:val="both"/>
        <w:rPr>
          <w:rFonts w:hint="eastAsia" w:ascii="宋体" w:hAnsi="宋体" w:eastAsia="宋体" w:cs="宋体"/>
          <w:color w:val="000000" w:themeColor="text1"/>
          <w:sz w:val="24"/>
          <w:szCs w:val="24"/>
          <w:shd w:val="clear" w:color="auto" w:fill="FFFFFF"/>
        </w:rPr>
      </w:pPr>
    </w:p>
    <w:p>
      <w:pPr>
        <w:pStyle w:val="41"/>
        <w:ind w:firstLine="480"/>
        <w:jc w:val="center"/>
        <w:rPr>
          <w:rFonts w:hint="eastAsia" w:ascii="宋体" w:hAnsi="宋体" w:eastAsia="宋体" w:cs="宋体"/>
          <w:b/>
          <w:color w:val="000000" w:themeColor="text1"/>
          <w:sz w:val="24"/>
          <w:szCs w:val="24"/>
        </w:rPr>
      </w:pPr>
      <w:r>
        <w:rPr>
          <w:rFonts w:hint="eastAsia" w:ascii="宋体" w:hAnsi="宋体" w:eastAsia="宋体" w:cs="宋体"/>
          <w:b/>
          <w:color w:val="000000" w:themeColor="text1"/>
          <w:sz w:val="24"/>
          <w:szCs w:val="24"/>
        </w:rPr>
        <w:t>采购包2、嵌入式应用公共组件分系统</w:t>
      </w:r>
    </w:p>
    <w:p>
      <w:pPr>
        <w:keepNext/>
        <w:keepLines/>
        <w:spacing w:before="260" w:after="260" w:line="416" w:lineRule="auto"/>
        <w:outlineLvl w:val="2"/>
        <w:rPr>
          <w:rFonts w:hint="eastAsia" w:ascii="宋体" w:hAnsi="宋体" w:eastAsia="宋体" w:cs="宋体"/>
          <w:b/>
          <w:bCs/>
          <w:color w:val="000000" w:themeColor="text1"/>
          <w:sz w:val="24"/>
          <w:szCs w:val="24"/>
        </w:rPr>
      </w:pPr>
      <w:bookmarkStart w:id="6" w:name="_Toc120864159"/>
      <w:r>
        <w:rPr>
          <w:rFonts w:hint="eastAsia" w:ascii="宋体" w:hAnsi="宋体" w:eastAsia="宋体" w:cs="宋体"/>
          <w:b/>
          <w:bCs/>
          <w:color w:val="000000" w:themeColor="text1"/>
          <w:sz w:val="24"/>
          <w:szCs w:val="24"/>
        </w:rPr>
        <w:t>★</w:t>
      </w:r>
      <w:r>
        <w:rPr>
          <w:rFonts w:hint="eastAsia" w:ascii="宋体" w:hAnsi="宋体" w:eastAsia="宋体" w:cs="宋体"/>
          <w:b/>
          <w:bCs/>
          <w:color w:val="000000" w:themeColor="text1"/>
          <w:sz w:val="24"/>
          <w:szCs w:val="24"/>
          <w:lang w:val="en-US" w:eastAsia="zh-CN"/>
        </w:rPr>
        <w:t>1、</w:t>
      </w:r>
      <w:r>
        <w:rPr>
          <w:rFonts w:hint="eastAsia" w:ascii="宋体" w:hAnsi="宋体" w:eastAsia="宋体" w:cs="宋体"/>
          <w:b/>
          <w:bCs/>
          <w:color w:val="000000" w:themeColor="text1"/>
          <w:sz w:val="24"/>
          <w:szCs w:val="24"/>
        </w:rPr>
        <w:t>因本项目需对接福建省突发事件预警信息发布系统（以下简称突发系统），投标人须承诺：遵循符合突发系统统一技术框架、统一技术规范、统一数据交互标准、统一信息安全标准，投标人需提供专项承诺书，若涉及突发系统接口开发改造工作，承诺能够自行承担系统接口开发改造费用。</w:t>
      </w:r>
    </w:p>
    <w:p>
      <w:pPr>
        <w:keepNext/>
        <w:keepLines/>
        <w:spacing w:before="260" w:after="260" w:line="416" w:lineRule="auto"/>
        <w:outlineLvl w:val="2"/>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w:t>
      </w:r>
      <w:r>
        <w:rPr>
          <w:rFonts w:hint="eastAsia" w:ascii="宋体" w:hAnsi="宋体" w:eastAsia="宋体" w:cs="宋体"/>
          <w:b/>
          <w:bCs/>
          <w:color w:val="000000" w:themeColor="text1"/>
          <w:sz w:val="24"/>
          <w:szCs w:val="24"/>
          <w:lang w:val="en-US" w:eastAsia="zh-CN"/>
        </w:rPr>
        <w:t>2</w:t>
      </w:r>
      <w:r>
        <w:rPr>
          <w:rFonts w:hint="eastAsia" w:ascii="宋体" w:hAnsi="宋体" w:eastAsia="宋体" w:cs="宋体"/>
          <w:b/>
          <w:color w:val="000000" w:themeColor="text1"/>
          <w:sz w:val="24"/>
          <w:szCs w:val="24"/>
        </w:rPr>
        <w:t>嵌入式应用公共组件分系统</w:t>
      </w:r>
      <w:r>
        <w:rPr>
          <w:rFonts w:hint="eastAsia" w:ascii="宋体" w:hAnsi="宋体" w:eastAsia="宋体" w:cs="宋体"/>
          <w:b/>
          <w:bCs/>
          <w:color w:val="000000" w:themeColor="text1"/>
          <w:sz w:val="24"/>
          <w:szCs w:val="24"/>
        </w:rPr>
        <w:t>建设内容</w:t>
      </w:r>
      <w:bookmarkEnd w:id="6"/>
    </w:p>
    <w:p>
      <w:pPr>
        <w:snapToGrid w:val="0"/>
        <w:spacing w:beforeLines="50" w:afterLines="50"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建设标准化接口、智能化插件的预警信息适配嵌入组件，多灾种预警信息和风险预警AI制作产品一站式服务接入行业系统、城市网格、平面媒体及穿戴式设备等。</w:t>
      </w:r>
    </w:p>
    <w:p>
      <w:pPr>
        <w:snapToGrid w:val="0"/>
        <w:spacing w:beforeLines="50" w:afterLines="50"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系统集成服务，实现本采购建设内容集成到福建省突发事件预警信息发布系统中</w:t>
      </w:r>
      <w:r>
        <w:rPr>
          <w:rFonts w:hint="eastAsia" w:ascii="宋体" w:hAnsi="宋体" w:eastAsia="宋体" w:cs="宋体"/>
          <w:color w:val="000000" w:themeColor="text1"/>
          <w:sz w:val="24"/>
          <w:szCs w:val="24"/>
          <w:lang w:val="en-US" w:eastAsia="zh-CN"/>
        </w:rPr>
        <w:t>所承担的相关工作</w:t>
      </w:r>
      <w:r>
        <w:rPr>
          <w:rFonts w:hint="eastAsia" w:ascii="宋体" w:hAnsi="宋体" w:eastAsia="宋体" w:cs="宋体"/>
          <w:color w:val="000000" w:themeColor="text1"/>
          <w:sz w:val="24"/>
          <w:szCs w:val="24"/>
        </w:rPr>
        <w:t>。</w:t>
      </w:r>
    </w:p>
    <w:p>
      <w:pPr>
        <w:keepNext/>
        <w:keepLines/>
        <w:spacing w:before="260" w:after="260" w:line="416" w:lineRule="auto"/>
        <w:outlineLvl w:val="2"/>
        <w:rPr>
          <w:rFonts w:hint="eastAsia" w:ascii="宋体" w:hAnsi="宋体" w:eastAsia="宋体" w:cs="宋体"/>
          <w:b/>
          <w:bCs/>
          <w:color w:val="000000" w:themeColor="text1"/>
          <w:sz w:val="24"/>
          <w:szCs w:val="24"/>
        </w:rPr>
      </w:pPr>
      <w:bookmarkStart w:id="7" w:name="_Toc120864160"/>
      <w:r>
        <w:rPr>
          <w:rFonts w:hint="eastAsia" w:ascii="宋体" w:hAnsi="宋体" w:eastAsia="宋体" w:cs="宋体"/>
          <w:b/>
          <w:bCs/>
          <w:color w:val="000000" w:themeColor="text1"/>
          <w:sz w:val="24"/>
          <w:szCs w:val="24"/>
        </w:rPr>
        <w:t>★</w:t>
      </w:r>
      <w:r>
        <w:rPr>
          <w:rFonts w:hint="eastAsia" w:ascii="宋体" w:hAnsi="宋体" w:eastAsia="宋体" w:cs="宋体"/>
          <w:b/>
          <w:bCs/>
          <w:color w:val="000000" w:themeColor="text1"/>
          <w:sz w:val="24"/>
          <w:szCs w:val="24"/>
          <w:lang w:val="en-US" w:eastAsia="zh-CN"/>
        </w:rPr>
        <w:t>3</w:t>
      </w:r>
      <w:r>
        <w:rPr>
          <w:rFonts w:hint="eastAsia" w:ascii="宋体" w:hAnsi="宋体" w:eastAsia="宋体" w:cs="宋体"/>
          <w:b/>
          <w:color w:val="000000" w:themeColor="text1"/>
          <w:sz w:val="24"/>
          <w:szCs w:val="24"/>
        </w:rPr>
        <w:t>嵌入式应用公共组件分系统</w:t>
      </w:r>
      <w:r>
        <w:rPr>
          <w:rFonts w:hint="eastAsia" w:ascii="宋体" w:hAnsi="宋体" w:eastAsia="宋体" w:cs="宋体"/>
          <w:b/>
          <w:bCs/>
          <w:color w:val="000000" w:themeColor="text1"/>
          <w:sz w:val="24"/>
          <w:szCs w:val="24"/>
        </w:rPr>
        <w:t>建设规模</w:t>
      </w:r>
      <w:bookmarkEnd w:id="7"/>
    </w:p>
    <w:p>
      <w:pPr>
        <w:snapToGrid w:val="0"/>
        <w:spacing w:beforeLines="50" w:afterLines="50"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嵌入式应用公共组件服务分系统应用软件拟部署在福建省政务云平台，建设标准化接口、智能化插件的预警信息适配嵌入组件，多灾种预警信息和风险预警AI制作产品一站式服务接入行业系统、城市网格、平面媒体及穿戴式设备等。建设内容包括：风险预警服务AI制作子系统、嵌入式应用公共组件子系统、预警信息共享服务反馈子系统、嵌入式综合服务管理子系统。</w:t>
      </w:r>
    </w:p>
    <w:p>
      <w:pPr>
        <w:keepNext/>
        <w:keepLines/>
        <w:spacing w:before="260" w:after="260" w:line="416" w:lineRule="auto"/>
        <w:jc w:val="left"/>
        <w:outlineLvl w:val="2"/>
        <w:rPr>
          <w:rFonts w:hint="eastAsia" w:ascii="宋体" w:hAnsi="宋体" w:eastAsia="宋体" w:cs="宋体"/>
          <w:color w:val="000000" w:themeColor="text1"/>
          <w:sz w:val="24"/>
          <w:szCs w:val="24"/>
        </w:rPr>
      </w:pPr>
      <w:bookmarkStart w:id="8" w:name="_Toc120864162"/>
      <w:bookmarkStart w:id="9" w:name="_Toc120864161"/>
      <w:r>
        <w:rPr>
          <w:rFonts w:hint="eastAsia" w:ascii="宋体" w:hAnsi="宋体" w:eastAsia="宋体" w:cs="宋体"/>
          <w:b/>
          <w:bCs/>
          <w:color w:val="000000" w:themeColor="text1"/>
          <w:sz w:val="24"/>
          <w:szCs w:val="24"/>
          <w:lang w:val="en-US" w:eastAsia="zh-CN"/>
        </w:rPr>
        <w:t>4</w:t>
      </w:r>
      <w:r>
        <w:rPr>
          <w:rFonts w:hint="eastAsia" w:ascii="宋体" w:hAnsi="宋体" w:eastAsia="宋体" w:cs="宋体"/>
          <w:b/>
          <w:bCs/>
          <w:color w:val="000000" w:themeColor="text1"/>
          <w:sz w:val="24"/>
          <w:szCs w:val="24"/>
        </w:rPr>
        <w:t>功能结构</w:t>
      </w:r>
      <w:bookmarkEnd w:id="8"/>
    </w:p>
    <w:p>
      <w:pPr>
        <w:spacing w:line="360" w:lineRule="auto"/>
        <w:ind w:firstLine="0" w:firstLineChars="0"/>
        <w:rPr>
          <w:rFonts w:hint="eastAsia" w:ascii="宋体" w:hAnsi="宋体" w:eastAsia="宋体" w:cs="宋体"/>
          <w:snapToGrid w:val="0"/>
          <w:color w:val="000000" w:themeColor="text1"/>
          <w:kern w:val="0"/>
          <w:sz w:val="24"/>
          <w:szCs w:val="24"/>
        </w:rPr>
      </w:pPr>
      <w:r>
        <w:rPr>
          <w:rFonts w:hint="eastAsia" w:ascii="宋体" w:hAnsi="宋体" w:eastAsia="宋体" w:cs="宋体"/>
          <w:b/>
          <w:bCs/>
          <w:color w:val="000000" w:themeColor="text1"/>
          <w:sz w:val="24"/>
          <w:szCs w:val="24"/>
          <w:lang w:val="en-US" w:eastAsia="zh-CN"/>
        </w:rPr>
        <w:t xml:space="preserve">    </w:t>
      </w:r>
      <w:r>
        <w:rPr>
          <w:rFonts w:hint="eastAsia" w:ascii="宋体" w:hAnsi="宋体" w:eastAsia="宋体" w:cs="宋体"/>
          <w:b/>
          <w:bCs/>
          <w:color w:val="000000" w:themeColor="text1"/>
          <w:sz w:val="24"/>
          <w:szCs w:val="24"/>
        </w:rPr>
        <w:t>★</w:t>
      </w:r>
      <w:r>
        <w:rPr>
          <w:rFonts w:hint="eastAsia" w:ascii="宋体" w:hAnsi="宋体" w:eastAsia="宋体" w:cs="宋体"/>
          <w:snapToGrid w:val="0"/>
          <w:color w:val="000000" w:themeColor="text1"/>
          <w:kern w:val="0"/>
          <w:sz w:val="24"/>
          <w:szCs w:val="24"/>
        </w:rPr>
        <w:t>嵌入式应用公共组件服务分系统提供个性化轻型便携式预警服务，可提供预警数据共享服务或预警页面服务、预警插件服务等；建立以公共组件为信息反馈通道，采集预警浏览次数、转发次数、关注次数等预警传播效果数据，渠道传播状态监控信息；综合管理公共组件服务，数据流转到预警发布融合评估服务分系统，优化预警信息服务传播能力，提升预警信息用户触达率。</w:t>
      </w:r>
    </w:p>
    <w:p>
      <w:pPr>
        <w:keepNext/>
        <w:keepLines/>
        <w:spacing w:before="280" w:after="290" w:line="376" w:lineRule="auto"/>
        <w:outlineLvl w:val="3"/>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4.1风险预警服务AI制作子系统</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w:t>
      </w:r>
      <w:r>
        <w:rPr>
          <w:rFonts w:hint="eastAsia" w:ascii="宋体" w:hAnsi="宋体" w:eastAsia="宋体" w:cs="宋体"/>
          <w:color w:val="000000" w:themeColor="text1"/>
          <w:sz w:val="24"/>
          <w:szCs w:val="24"/>
        </w:rPr>
        <w:t>风险预警服务AI制作子系统开发分析多灾种预警信息自动化生成风险预警服务产品，制作图文、视频、音频等全媒体预警媒体产品，一键分发全媒体传播渠道。</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w:t>
      </w:r>
      <w:r>
        <w:rPr>
          <w:rFonts w:hint="eastAsia" w:ascii="宋体" w:hAnsi="宋体" w:eastAsia="宋体" w:cs="宋体"/>
          <w:color w:val="000000" w:themeColor="text1"/>
          <w:sz w:val="24"/>
          <w:szCs w:val="24"/>
        </w:rPr>
        <w:t>（1）风险预警产品网络爬取模块：利用爬虫技术，开发爬取任务程序，7*24小时从各大平台爬取灾害舆情信息。获取福建省市县预警发布抖音、头条、百度、人民号及快手号等预警发布新媒体账号后台数据并反馈。</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w:t>
      </w:r>
      <w:r>
        <w:rPr>
          <w:rFonts w:hint="eastAsia" w:ascii="宋体" w:hAnsi="宋体" w:eastAsia="宋体" w:cs="宋体"/>
          <w:color w:val="000000" w:themeColor="text1"/>
          <w:sz w:val="24"/>
          <w:szCs w:val="24"/>
        </w:rPr>
        <w:t>（2）风险预警素材处理模块：负责对采集后的素材进行处理，采用数据分析程序实现数据清洗规整。</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【指标3】</w:t>
      </w:r>
      <w:r>
        <w:rPr>
          <w:rFonts w:hint="eastAsia" w:ascii="宋体" w:hAnsi="宋体" w:eastAsia="宋体" w:cs="宋体"/>
          <w:color w:val="000000" w:themeColor="text1"/>
          <w:sz w:val="24"/>
          <w:szCs w:val="24"/>
        </w:rPr>
        <w:t>（3）舆情信息收集模块：开发收集相关文章、帖子、评论，以人工参与和自动信息采集结合的方法完成信息收集任务。</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【指标4】</w:t>
      </w:r>
      <w:r>
        <w:rPr>
          <w:rFonts w:hint="eastAsia" w:ascii="宋体" w:hAnsi="宋体" w:eastAsia="宋体" w:cs="宋体"/>
          <w:color w:val="000000" w:themeColor="text1"/>
          <w:sz w:val="24"/>
          <w:szCs w:val="24"/>
        </w:rPr>
        <w:t>（4）舆情数据管理模块：开发管理收集的舆情信息，如格式转换、数据清理，数据统计、主题分类、自动摘要。</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【指标5】</w:t>
      </w:r>
      <w:r>
        <w:rPr>
          <w:rFonts w:hint="eastAsia" w:ascii="宋体" w:hAnsi="宋体" w:eastAsia="宋体" w:cs="宋体"/>
          <w:color w:val="000000" w:themeColor="text1"/>
          <w:sz w:val="24"/>
          <w:szCs w:val="24"/>
        </w:rPr>
        <w:t>（5）事件研判评价模块：根据时间、空间维度综合分析传播反馈信息，开发提炼生成事件发生全貌、公众对事件观点，生成统计报告。</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【指标6】</w:t>
      </w:r>
      <w:r>
        <w:rPr>
          <w:rFonts w:hint="eastAsia" w:ascii="宋体" w:hAnsi="宋体" w:eastAsia="宋体" w:cs="宋体"/>
          <w:color w:val="000000" w:themeColor="text1"/>
          <w:sz w:val="24"/>
          <w:szCs w:val="24"/>
        </w:rPr>
        <w:t>（6）全媒体信息编辑分发模块：对接省突系统实现预警、实况、预报等数据的实时采集，经清洗、判别及分析后，生成图文、视频、音频等全媒体预警产品，通过网站、微博、微信等渠道向外分发。开发各类形式的图文展现模板，可主动控制模板中预警信息、科普信息、防御信息等组合的排版形式，以及内容的字体、间距等展现形式。通过后台管理对图文模版进行编辑及管理，对于图文的背景图、模块组成等可以进行便捷式增减、删除及更换等。</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【指标7】</w:t>
      </w:r>
      <w:r>
        <w:rPr>
          <w:rFonts w:hint="eastAsia" w:ascii="宋体" w:hAnsi="宋体" w:eastAsia="宋体" w:cs="宋体"/>
          <w:color w:val="000000" w:themeColor="text1"/>
          <w:sz w:val="24"/>
          <w:szCs w:val="24"/>
        </w:rPr>
        <w:t>（7）统计分析报告制作模块：开发风险预警服务产品的从风险预警爬取与处理、舆情信息收集与管理、产品编辑生成的统计分析报告，可周期性生成，支持数据报告的下载导出。</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【指标8】</w:t>
      </w:r>
      <w:r>
        <w:rPr>
          <w:rFonts w:hint="eastAsia" w:ascii="宋体" w:hAnsi="宋体" w:eastAsia="宋体" w:cs="宋体"/>
          <w:color w:val="000000" w:themeColor="text1"/>
          <w:sz w:val="24"/>
          <w:szCs w:val="24"/>
        </w:rPr>
        <w:t>（8）预警AI智能体模块：基于已有大语言模型、向量化模型及重排序模型，构建预警相关的政策信息、预防措施等预警行业知识库，配置实时预警信息的接入工作流程，搭建预警服务智能体，实现预警信息便捷智能问答，支持智能体创建、配置、管理、发布等功能。</w:t>
      </w:r>
    </w:p>
    <w:p>
      <w:pPr>
        <w:keepNext/>
        <w:keepLines/>
        <w:spacing w:before="280" w:after="290" w:line="376" w:lineRule="auto"/>
        <w:outlineLvl w:val="3"/>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4.2嵌入式应用公共组件子系统</w:t>
      </w:r>
    </w:p>
    <w:p>
      <w:pPr>
        <w:spacing w:line="360" w:lineRule="auto"/>
        <w:ind w:firstLine="482" w:firstLineChars="200"/>
        <w:jc w:val="left"/>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★嵌入式应用公共组件子系统开发适配多终端、多系统、多用户的接口和插件，以http\https、html页面、H5页面、SDK等方式提供统一对外服务功能。</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【指标9】</w:t>
      </w:r>
      <w:r>
        <w:rPr>
          <w:rFonts w:hint="eastAsia" w:ascii="宋体" w:hAnsi="宋体" w:eastAsia="宋体" w:cs="宋体"/>
          <w:color w:val="000000" w:themeColor="text1"/>
          <w:sz w:val="24"/>
          <w:szCs w:val="24"/>
        </w:rPr>
        <w:t>（1）预警融媒体产品开发模块：开发各类风险消息图片、视频、音频、文本等多媒体格式产品，一站式接入第三方媒体平台，多渠道发布传播。</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【指标10】</w:t>
      </w:r>
      <w:r>
        <w:rPr>
          <w:rFonts w:hint="eastAsia" w:ascii="宋体" w:hAnsi="宋体" w:eastAsia="宋体" w:cs="宋体"/>
          <w:color w:val="000000" w:themeColor="text1"/>
          <w:sz w:val="24"/>
          <w:szCs w:val="24"/>
        </w:rPr>
        <w:t>（2）SDK插件开发模块：开发SDK预警信息插件包，提供给Android应用调用，适配第三方应用程序嵌入运行。</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【指标11】</w:t>
      </w:r>
      <w:r>
        <w:rPr>
          <w:rFonts w:hint="eastAsia" w:ascii="宋体" w:hAnsi="宋体" w:eastAsia="宋体" w:cs="宋体"/>
          <w:color w:val="000000" w:themeColor="text1"/>
          <w:sz w:val="24"/>
          <w:szCs w:val="24"/>
        </w:rPr>
        <w:t>（3）网页插件开发模块：开发支持web网页的预警信息插件包，支持嵌入第三方网页使用。</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【指标12】</w:t>
      </w:r>
      <w:r>
        <w:rPr>
          <w:rFonts w:hint="eastAsia" w:ascii="宋体" w:hAnsi="宋体" w:eastAsia="宋体" w:cs="宋体"/>
          <w:color w:val="000000" w:themeColor="text1"/>
          <w:sz w:val="24"/>
          <w:szCs w:val="24"/>
        </w:rPr>
        <w:t>（4）H5插件开发模块：开发支持响应式H5微网页的预警信息插件包，可跨终端应用，支持APP、微信公众号和小程序入口跳转。</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【指标13】</w:t>
      </w:r>
      <w:r>
        <w:rPr>
          <w:rFonts w:hint="eastAsia" w:ascii="宋体" w:hAnsi="宋体" w:eastAsia="宋体" w:cs="宋体"/>
          <w:color w:val="000000" w:themeColor="text1"/>
          <w:sz w:val="24"/>
          <w:szCs w:val="24"/>
        </w:rPr>
        <w:t>（5）专题图层插件模块：开发专题图层预警信息插件包，支持基于空间的可视化预警地图服务，提供气象预警地图、多灾种预警地图、风险预警地图等，支持省、市、县三级适配预警地图。</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【指标14】</w:t>
      </w:r>
      <w:r>
        <w:rPr>
          <w:rFonts w:hint="eastAsia" w:ascii="宋体" w:hAnsi="宋体" w:eastAsia="宋体" w:cs="宋体"/>
          <w:color w:val="000000" w:themeColor="text1"/>
          <w:sz w:val="24"/>
          <w:szCs w:val="24"/>
        </w:rPr>
        <w:t>（6）嵌入式用户个性化设置模块：开发用户个性化功能，可选择插件的样式、尺寸、背景进行应用。</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【指标15】</w:t>
      </w:r>
      <w:r>
        <w:rPr>
          <w:rFonts w:hint="eastAsia" w:ascii="宋体" w:hAnsi="宋体" w:eastAsia="宋体" w:cs="宋体"/>
          <w:color w:val="000000" w:themeColor="text1"/>
          <w:sz w:val="24"/>
          <w:szCs w:val="24"/>
        </w:rPr>
        <w:t>（7）闪信平台服务，支持移动、联通、电信号码闪信发布，提供</w:t>
      </w:r>
      <w:r>
        <w:rPr>
          <w:rFonts w:hint="eastAsia" w:ascii="宋体" w:hAnsi="宋体" w:eastAsia="宋体" w:cs="宋体"/>
          <w:color w:val="000000" w:themeColor="text1"/>
          <w:sz w:val="24"/>
          <w:szCs w:val="24"/>
          <w:lang w:val="en-US" w:eastAsia="zh-CN"/>
        </w:rPr>
        <w:t>不低于</w:t>
      </w:r>
      <w:r>
        <w:rPr>
          <w:rFonts w:hint="eastAsia" w:ascii="宋体" w:hAnsi="宋体" w:eastAsia="宋体" w:cs="宋体"/>
          <w:color w:val="000000" w:themeColor="text1"/>
          <w:sz w:val="24"/>
          <w:szCs w:val="24"/>
        </w:rPr>
        <w:t>100万次预警信息发布功能服务，提供闪信模板定制、智能外呼、发布结果反馈等功能。</w:t>
      </w:r>
    </w:p>
    <w:p>
      <w:pPr>
        <w:keepNext/>
        <w:keepLines/>
        <w:spacing w:before="280" w:after="290" w:line="376" w:lineRule="auto"/>
        <w:outlineLvl w:val="3"/>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4.3预警信息共享服务反馈子系统</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w:t>
      </w:r>
      <w:r>
        <w:rPr>
          <w:rFonts w:hint="eastAsia" w:ascii="宋体" w:hAnsi="宋体" w:eastAsia="宋体" w:cs="宋体"/>
          <w:color w:val="000000" w:themeColor="text1"/>
          <w:sz w:val="24"/>
          <w:szCs w:val="24"/>
        </w:rPr>
        <w:t>预警信息共享服务反馈子系统开发数据采集或数据接收接口，对各类反馈信息进行数据清洗、数据预处理、分类编码、存储入库。</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【指标16】</w:t>
      </w:r>
      <w:r>
        <w:rPr>
          <w:rFonts w:hint="eastAsia" w:ascii="宋体" w:hAnsi="宋体" w:eastAsia="宋体" w:cs="宋体"/>
          <w:color w:val="000000" w:themeColor="text1"/>
          <w:sz w:val="24"/>
          <w:szCs w:val="24"/>
        </w:rPr>
        <w:t>（1）嵌入式用户数据收集管理模块：开发全媒体多渠道反馈的用户信息实时采集功能，实现使用数据提取、分类规整、精细管理使用功能。</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【指标17】</w:t>
      </w:r>
      <w:r>
        <w:rPr>
          <w:rFonts w:hint="eastAsia" w:ascii="宋体" w:hAnsi="宋体" w:eastAsia="宋体" w:cs="宋体"/>
          <w:color w:val="000000" w:themeColor="text1"/>
          <w:sz w:val="24"/>
          <w:szCs w:val="24"/>
        </w:rPr>
        <w:t>（2）嵌入式用户行为统计分析模块：统计分析用户行为数据，实现用户访问量时序分析，分析不同需求主题的数据结果，合理分配资源。</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【指标18】</w:t>
      </w:r>
      <w:r>
        <w:rPr>
          <w:rFonts w:hint="eastAsia" w:ascii="宋体" w:hAnsi="宋体" w:eastAsia="宋体" w:cs="宋体"/>
          <w:color w:val="000000" w:themeColor="text1"/>
          <w:sz w:val="24"/>
          <w:szCs w:val="24"/>
        </w:rPr>
        <w:t>（3）预警信息嵌入式传播状态监控模块：实时采集第三方传播渠道预警信息发送状态、展示状态、下线状态监控，纳入统一监控运维管理。</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【指标19】</w:t>
      </w:r>
      <w:r>
        <w:rPr>
          <w:rFonts w:hint="eastAsia" w:ascii="宋体" w:hAnsi="宋体" w:eastAsia="宋体" w:cs="宋体"/>
          <w:color w:val="000000" w:themeColor="text1"/>
          <w:sz w:val="24"/>
          <w:szCs w:val="24"/>
        </w:rPr>
        <w:t>（4）渠道多元阅读数据采集模块：利用第三方平台具备的阅读数、转发数、点赞数等标准化接口，实时反馈各渠道预警信息多元阅读数据。</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【指标20】</w:t>
      </w:r>
      <w:r>
        <w:rPr>
          <w:rFonts w:hint="eastAsia" w:ascii="宋体" w:hAnsi="宋体" w:eastAsia="宋体" w:cs="宋体"/>
          <w:color w:val="000000" w:themeColor="text1"/>
          <w:sz w:val="24"/>
          <w:szCs w:val="24"/>
        </w:rPr>
        <w:t>（5）渠道传播分析研判模块：开发信息自动反馈功能，实时收集对外服务的公共组件嵌入各渠道系统的信息，生成相关预警服务报告。</w:t>
      </w:r>
    </w:p>
    <w:p>
      <w:pPr>
        <w:keepNext/>
        <w:keepLines/>
        <w:spacing w:before="280" w:after="290" w:line="376" w:lineRule="auto"/>
        <w:outlineLvl w:val="3"/>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4.4嵌入式综合服务管理子系统</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w:t>
      </w:r>
      <w:r>
        <w:rPr>
          <w:rFonts w:hint="eastAsia" w:ascii="宋体" w:hAnsi="宋体" w:eastAsia="宋体" w:cs="宋体"/>
          <w:color w:val="000000" w:themeColor="text1"/>
          <w:sz w:val="24"/>
          <w:szCs w:val="24"/>
        </w:rPr>
        <w:t>嵌入式综合服务管理子系统服务用户管理，实现用户按策略配置推送分区、分类、分级别、分时段的预警信息和接入预警信息的公共组件类型；开发公共组件全流程监控管理功能，实现公共组件的预警使用、接口服务、网络及服务状态的监控；开发公共组件管理功能，实现公共组件资源目录、公共组件配置信息，用户信息、服务信息查询、统计、编辑等。</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【指标21】</w:t>
      </w:r>
      <w:r>
        <w:rPr>
          <w:rFonts w:hint="eastAsia" w:ascii="宋体" w:hAnsi="宋体" w:eastAsia="宋体" w:cs="宋体"/>
          <w:color w:val="000000" w:themeColor="text1"/>
          <w:sz w:val="24"/>
          <w:szCs w:val="24"/>
        </w:rPr>
        <w:t>（1）嵌入式产品管理模块：综合管理数据接口、预警插件管理等。</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【指标22】</w:t>
      </w:r>
      <w:r>
        <w:rPr>
          <w:rFonts w:hint="eastAsia" w:ascii="宋体" w:hAnsi="宋体" w:eastAsia="宋体" w:cs="宋体"/>
          <w:color w:val="000000" w:themeColor="text1"/>
          <w:sz w:val="24"/>
          <w:szCs w:val="24"/>
        </w:rPr>
        <w:t>（2）嵌入式服务管理模块：开发对申请平台接口、插件等服务的记录集中管理。</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【指标23】</w:t>
      </w:r>
      <w:r>
        <w:rPr>
          <w:rFonts w:hint="eastAsia" w:ascii="宋体" w:hAnsi="宋体" w:eastAsia="宋体" w:cs="宋体"/>
          <w:color w:val="000000" w:themeColor="text1"/>
          <w:sz w:val="24"/>
          <w:szCs w:val="24"/>
        </w:rPr>
        <w:t>（3）嵌入式用户管理模块：开发对用户进行管理，用户状态控制等功能。</w:t>
      </w:r>
    </w:p>
    <w:p>
      <w:pPr>
        <w:spacing w:line="360" w:lineRule="auto"/>
        <w:ind w:firstLine="482" w:firstLineChars="2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【指标24】</w:t>
      </w:r>
      <w:r>
        <w:rPr>
          <w:rFonts w:hint="eastAsia" w:ascii="宋体" w:hAnsi="宋体" w:eastAsia="宋体" w:cs="宋体"/>
          <w:color w:val="000000" w:themeColor="text1"/>
          <w:sz w:val="24"/>
          <w:szCs w:val="24"/>
        </w:rPr>
        <w:t>（4）嵌入式接口管理模块：根据用户、功能、数据实现细粒度的管理，可以实时监控API的访问次数、访问区域，做到API的全流程监控。</w:t>
      </w:r>
    </w:p>
    <w:bookmarkEnd w:id="9"/>
    <w:p>
      <w:pPr>
        <w:keepNext/>
        <w:keepLines/>
        <w:spacing w:before="260" w:after="260" w:line="416" w:lineRule="auto"/>
        <w:outlineLvl w:val="2"/>
        <w:rPr>
          <w:rFonts w:hint="eastAsia" w:ascii="宋体" w:hAnsi="宋体" w:eastAsia="宋体" w:cs="宋体"/>
          <w:b/>
          <w:bCs/>
          <w:color w:val="000000" w:themeColor="text1"/>
          <w:sz w:val="24"/>
          <w:szCs w:val="24"/>
        </w:rPr>
      </w:pPr>
      <w:bookmarkStart w:id="10" w:name="_Toc120864163"/>
      <w:r>
        <w:rPr>
          <w:rFonts w:hint="eastAsia" w:ascii="宋体" w:hAnsi="宋体" w:eastAsia="宋体" w:cs="宋体"/>
          <w:b/>
          <w:bCs/>
          <w:color w:val="000000" w:themeColor="text1"/>
          <w:sz w:val="24"/>
          <w:szCs w:val="24"/>
        </w:rPr>
        <w:t>4.5技术指标</w:t>
      </w:r>
      <w:bookmarkEnd w:id="10"/>
    </w:p>
    <w:p>
      <w:pPr>
        <w:spacing w:line="360" w:lineRule="auto"/>
        <w:ind w:firstLine="241" w:firstLineChars="1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【指标25】</w:t>
      </w:r>
      <w:r>
        <w:rPr>
          <w:rFonts w:hint="eastAsia" w:ascii="宋体" w:hAnsi="宋体" w:eastAsia="宋体" w:cs="宋体"/>
          <w:color w:val="000000" w:themeColor="text1"/>
          <w:sz w:val="24"/>
          <w:szCs w:val="24"/>
        </w:rPr>
        <w:t>（1）接口并发量</w:t>
      </w:r>
    </w:p>
    <w:p>
      <w:pPr>
        <w:snapToGrid w:val="0"/>
        <w:spacing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lang w:val="en-US" w:eastAsia="zh-CN"/>
        </w:rPr>
        <w:t>不少于</w:t>
      </w:r>
      <w:r>
        <w:rPr>
          <w:rFonts w:hint="eastAsia" w:ascii="宋体" w:hAnsi="宋体" w:eastAsia="宋体" w:cs="宋体"/>
          <w:color w:val="000000" w:themeColor="text1"/>
          <w:sz w:val="24"/>
          <w:szCs w:val="24"/>
        </w:rPr>
        <w:t>100个嵌入式插件、接口并发服务。</w:t>
      </w:r>
    </w:p>
    <w:p>
      <w:pPr>
        <w:spacing w:line="360" w:lineRule="auto"/>
        <w:ind w:firstLine="241" w:firstLineChars="100"/>
        <w:rPr>
          <w:rFonts w:hint="eastAsia" w:ascii="宋体" w:hAnsi="宋体" w:eastAsia="宋体" w:cs="宋体"/>
          <w:color w:val="000000" w:themeColor="text1"/>
          <w:sz w:val="24"/>
          <w:szCs w:val="24"/>
        </w:rPr>
      </w:pPr>
      <w:r>
        <w:rPr>
          <w:rFonts w:hint="eastAsia" w:ascii="宋体" w:hAnsi="宋体" w:eastAsia="宋体" w:cs="宋体"/>
          <w:b/>
          <w:bCs/>
          <w:color w:val="000000" w:themeColor="text1"/>
          <w:sz w:val="24"/>
          <w:szCs w:val="24"/>
        </w:rPr>
        <w:t>【指标26】</w:t>
      </w:r>
      <w:r>
        <w:rPr>
          <w:rFonts w:hint="eastAsia" w:ascii="宋体" w:hAnsi="宋体" w:eastAsia="宋体" w:cs="宋体"/>
          <w:color w:val="000000" w:themeColor="text1"/>
          <w:sz w:val="24"/>
          <w:szCs w:val="24"/>
        </w:rPr>
        <w:t>（2）响应速度</w:t>
      </w:r>
    </w:p>
    <w:p>
      <w:pPr>
        <w:snapToGrid w:val="0"/>
        <w:spacing w:line="360" w:lineRule="auto"/>
        <w:ind w:firstLine="480" w:firstLineChars="200"/>
        <w:contextualSpacing/>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信息推送时效在30秒之内。</w:t>
      </w:r>
    </w:p>
    <w:p>
      <w:pPr>
        <w:pStyle w:val="41"/>
        <w:ind w:firstLine="480"/>
        <w:jc w:val="both"/>
        <w:rPr>
          <w:rFonts w:hint="eastAsia" w:ascii="宋体" w:hAnsi="宋体" w:eastAsia="宋体" w:cs="宋体"/>
          <w:color w:val="000000" w:themeColor="text1"/>
          <w:sz w:val="24"/>
          <w:szCs w:val="24"/>
          <w:shd w:val="clear" w:color="auto" w:fill="FFFFFF"/>
        </w:rPr>
      </w:pPr>
    </w:p>
    <w:p>
      <w:pPr>
        <w:pStyle w:val="41"/>
        <w:jc w:val="both"/>
        <w:outlineLvl w:val="2"/>
        <w:rPr>
          <w:rFonts w:hint="eastAsia" w:ascii="宋体" w:hAnsi="宋体" w:eastAsia="宋体" w:cs="宋体"/>
          <w:color w:val="000000" w:themeColor="text1"/>
          <w:sz w:val="24"/>
          <w:szCs w:val="24"/>
        </w:rPr>
      </w:pPr>
      <w:r>
        <w:rPr>
          <w:rFonts w:hint="eastAsia" w:ascii="宋体" w:hAnsi="宋体" w:eastAsia="宋体" w:cs="宋体"/>
          <w:b/>
          <w:color w:val="000000" w:themeColor="text1"/>
          <w:sz w:val="24"/>
          <w:szCs w:val="24"/>
          <w:lang w:val="en-US" w:eastAsia="zh-CN"/>
        </w:rPr>
        <w:t>二</w:t>
      </w:r>
      <w:r>
        <w:rPr>
          <w:rFonts w:hint="eastAsia" w:ascii="宋体" w:hAnsi="宋体" w:eastAsia="宋体" w:cs="宋体"/>
          <w:b/>
          <w:color w:val="000000" w:themeColor="text1"/>
          <w:sz w:val="24"/>
          <w:szCs w:val="24"/>
        </w:rPr>
        <w:t>、商务要求（以“★”标示的内容为不允许负偏离的实质性要求）</w:t>
      </w:r>
    </w:p>
    <w:p>
      <w:pPr>
        <w:pStyle w:val="41"/>
        <w:jc w:val="both"/>
        <w:rPr>
          <w:rFonts w:hint="eastAsia" w:ascii="宋体" w:hAnsi="宋体" w:eastAsia="宋体" w:cs="宋体"/>
          <w:color w:val="000000" w:themeColor="text1"/>
          <w:sz w:val="24"/>
          <w:szCs w:val="24"/>
        </w:rPr>
      </w:pPr>
      <w:bookmarkStart w:id="11" w:name="OLE_LINK53"/>
      <w:r>
        <w:rPr>
          <w:rFonts w:hint="eastAsia" w:ascii="宋体" w:hAnsi="宋体" w:eastAsia="宋体" w:cs="宋体"/>
          <w:color w:val="000000" w:themeColor="text1"/>
          <w:sz w:val="24"/>
          <w:szCs w:val="24"/>
        </w:rPr>
        <w:t>采购包1：</w:t>
      </w:r>
    </w:p>
    <w:tbl>
      <w:tblPr>
        <w:tblStyle w:val="18"/>
        <w:tblW w:w="964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8"/>
        <w:gridCol w:w="1260"/>
        <w:gridCol w:w="1440"/>
        <w:gridCol w:w="59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center"/>
              <w:rPr>
                <w:rFonts w:hint="eastAsia" w:ascii="宋体" w:hAnsi="宋体" w:eastAsia="宋体" w:cs="宋体"/>
                <w:color w:val="000000" w:themeColor="text1"/>
                <w:sz w:val="24"/>
                <w:szCs w:val="24"/>
              </w:rPr>
            </w:pPr>
            <w:bookmarkStart w:id="12" w:name="_Hlk195550021"/>
            <w:r>
              <w:rPr>
                <w:rFonts w:hint="eastAsia" w:ascii="宋体" w:hAnsi="宋体" w:eastAsia="宋体" w:cs="宋体"/>
                <w:color w:val="000000" w:themeColor="text1"/>
                <w:sz w:val="24"/>
                <w:szCs w:val="24"/>
              </w:rPr>
              <w:t>序号</w:t>
            </w:r>
          </w:p>
        </w:tc>
        <w:tc>
          <w:tcPr>
            <w:tcW w:w="126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参数性质</w:t>
            </w:r>
          </w:p>
        </w:tc>
        <w:tc>
          <w:tcPr>
            <w:tcW w:w="144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类型</w:t>
            </w:r>
          </w:p>
        </w:tc>
        <w:tc>
          <w:tcPr>
            <w:tcW w:w="594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交货时间</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自合同签订之日起</w:t>
            </w:r>
            <w:r>
              <w:rPr>
                <w:rFonts w:hint="eastAsia" w:ascii="宋体" w:hAnsi="宋体" w:eastAsia="宋体" w:cs="宋体"/>
                <w:color w:val="000000" w:themeColor="text1"/>
                <w:sz w:val="24"/>
                <w:szCs w:val="24"/>
                <w:lang w:val="en-US" w:eastAsia="zh-CN"/>
              </w:rPr>
              <w:t>15</w:t>
            </w:r>
            <w:r>
              <w:rPr>
                <w:rFonts w:hint="eastAsia" w:ascii="宋体" w:hAnsi="宋体" w:eastAsia="宋体" w:cs="宋体"/>
                <w:color w:val="000000" w:themeColor="text1"/>
                <w:sz w:val="24"/>
                <w:szCs w:val="24"/>
              </w:rPr>
              <w:t>0日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交货地点</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福州市仓山区金山街道建新中路108号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交货条件</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按照招标文件验收要求，验收合格后交付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是否邀请投标人验收</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不邀请投标人验收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履约验收方式</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1、期次1，说明：按招标文件、投标文件以及国家和行业验收规范要求及合同中的相关条款进行验收。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合同支付方式</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lang w:val="en-US" w:eastAsia="zh-CN"/>
              </w:rPr>
              <w:t>1、</w:t>
            </w:r>
            <w:r>
              <w:rPr>
                <w:rFonts w:hint="eastAsia" w:ascii="宋体" w:hAnsi="宋体" w:eastAsia="宋体" w:cs="宋体"/>
                <w:color w:val="000000" w:themeColor="text1"/>
                <w:sz w:val="24"/>
                <w:szCs w:val="24"/>
              </w:rPr>
              <w:t>首付款：合同签订之日起10个工作日内且履约保证金到账后，采购人依据中标人提供合同总价40%的正规、足额增值税普通发票向中标人支付相应金额的合同首付款，达到付款条件起30日内，支付合同总金额的40.00%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合同初验款：项目通过合同初验并签署《合同初验报告》之日起10个工作日内，采购人依据中标人提供合同总价30%的正规、足额增值税普通发票向中标人支付相应金额的合同进度款，达到付款条件起30日内，支付合同总金额的30.00%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合同终验款：项目通过项目合同终验并签署《合同终验报告》之日起10个工作日内，采购人依据中标人提供合同总价30%的正规、足额增值税普通发票向中标人支付相应金额的合同进度款，达到付款条件起30日内，支付合同总金额的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7</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履约保证金</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缴纳, 本采购包履约保证金为合同金额的5.0%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说明：自合同生效之日起10个工作日内，中标人向采购人支付合同总金额的5%作为履约保证金，系统通过业务验收或竣工验收且在合同终验1年后，中标人未出现违约情况，采购人应向中标人退还全额的履约保证金。</w:t>
            </w:r>
          </w:p>
        </w:tc>
      </w:tr>
      <w:bookmarkEnd w:id="11"/>
      <w:bookmarkEnd w:id="12"/>
    </w:tbl>
    <w:p>
      <w:pPr>
        <w:pStyle w:val="41"/>
        <w:rPr>
          <w:rFonts w:hint="eastAsia" w:ascii="宋体" w:hAnsi="宋体" w:eastAsia="宋体" w:cs="宋体"/>
          <w:color w:val="000000" w:themeColor="text1"/>
          <w:sz w:val="24"/>
          <w:szCs w:val="24"/>
        </w:rPr>
      </w:pP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采购包2：</w:t>
      </w:r>
    </w:p>
    <w:tbl>
      <w:tblPr>
        <w:tblStyle w:val="18"/>
        <w:tblW w:w="964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08"/>
        <w:gridCol w:w="1260"/>
        <w:gridCol w:w="1440"/>
        <w:gridCol w:w="59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序号</w:t>
            </w:r>
          </w:p>
        </w:tc>
        <w:tc>
          <w:tcPr>
            <w:tcW w:w="126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参数性质</w:t>
            </w:r>
          </w:p>
        </w:tc>
        <w:tc>
          <w:tcPr>
            <w:tcW w:w="144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类型</w:t>
            </w:r>
          </w:p>
        </w:tc>
        <w:tc>
          <w:tcPr>
            <w:tcW w:w="5940" w:type="dxa"/>
          </w:tcPr>
          <w:p>
            <w:pPr>
              <w:pStyle w:val="41"/>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交货时间</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自合同签订之日起</w:t>
            </w:r>
            <w:r>
              <w:rPr>
                <w:rFonts w:hint="eastAsia" w:ascii="宋体" w:hAnsi="宋体" w:eastAsia="宋体" w:cs="宋体"/>
                <w:color w:val="000000" w:themeColor="text1"/>
                <w:sz w:val="24"/>
                <w:szCs w:val="24"/>
                <w:lang w:val="en-US" w:eastAsia="zh-CN"/>
              </w:rPr>
              <w:t>9</w:t>
            </w:r>
            <w:r>
              <w:rPr>
                <w:rFonts w:hint="eastAsia" w:ascii="宋体" w:hAnsi="宋体" w:eastAsia="宋体" w:cs="宋体"/>
                <w:color w:val="000000" w:themeColor="text1"/>
                <w:sz w:val="24"/>
                <w:szCs w:val="24"/>
              </w:rPr>
              <w:t>0日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交货地点</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福州市仓山区金山街道建新中路108号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交货条件</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按照招标文件验收要求，验收合格后交付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是否邀请投标人验收</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不邀请投标人验收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履约验收方式</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1、期次1，说明：按招标文件、投标文件以及国家和行业验收规范要求及合同中的相关条款进行验收。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合同支付方式</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lang w:val="en-US" w:eastAsia="zh-CN"/>
              </w:rPr>
              <w:t>1、</w:t>
            </w:r>
            <w:r>
              <w:rPr>
                <w:rFonts w:hint="eastAsia" w:ascii="宋体" w:hAnsi="宋体" w:eastAsia="宋体" w:cs="宋体"/>
                <w:color w:val="000000" w:themeColor="text1"/>
                <w:sz w:val="24"/>
                <w:szCs w:val="24"/>
              </w:rPr>
              <w:t>首付款：合同签订之日起10个工作日内且履约保证金到账后，采购人依据中标人提供合同总价40%的正规、足额增值税普通发票向中标人支付相应金额的合同首付款，达到付款条件起30日内，支付合同总金额的40.00%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合同初验款：项目通过合同初验并签署《合同初验报告》之日起10个工作日内，采购人依据中标人提供合同总价30%的正规、足额增值税普通发票向中标人支付相应金额的合同进度款，达到付款条件起30日内，支付合同总金额的30.00%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合同终验款：项目通过项目合同终验并签署《合同终验报告》之日起10个工作日内，采购人依据中标人提供合同总价30%的正规、足额增值税普通发票向中标人支付相应金额的合同进度款，达到付款条件起30日内，支付合同总金额的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c>
          <w:tcPr>
            <w:tcW w:w="1008"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7</w:t>
            </w:r>
          </w:p>
        </w:tc>
        <w:tc>
          <w:tcPr>
            <w:tcW w:w="126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w:t>
            </w:r>
          </w:p>
        </w:tc>
        <w:tc>
          <w:tcPr>
            <w:tcW w:w="14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履约保证金</w:t>
            </w:r>
          </w:p>
        </w:tc>
        <w:tc>
          <w:tcPr>
            <w:tcW w:w="5940" w:type="dxa"/>
          </w:tcPr>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本采购包履约保证金为合同金额的5.0%</w:t>
            </w:r>
          </w:p>
          <w:p>
            <w:pPr>
              <w:pStyle w:val="41"/>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说明：自合同生效之日起10个工作日内，中标人向采购人支付合同总金额的5%作为履约保证金，系统通过业务验收或竣工验收且在合同终验1年后，中标人未出现违约情况，采购人应向中标人退还全额的履约保证金</w:t>
            </w:r>
          </w:p>
        </w:tc>
      </w:tr>
    </w:tbl>
    <w:p>
      <w:pPr>
        <w:pStyle w:val="41"/>
        <w:rPr>
          <w:rFonts w:hint="eastAsia" w:ascii="宋体" w:hAnsi="宋体" w:eastAsia="宋体" w:cs="宋体"/>
          <w:color w:val="000000" w:themeColor="text1"/>
          <w:sz w:val="24"/>
          <w:szCs w:val="24"/>
        </w:rPr>
      </w:pPr>
    </w:p>
    <w:p>
      <w:pPr>
        <w:pStyle w:val="41"/>
        <w:ind w:firstLine="480"/>
        <w:jc w:val="both"/>
        <w:rPr>
          <w:rFonts w:hint="eastAsia" w:ascii="宋体" w:hAnsi="宋体" w:eastAsia="宋体" w:cs="宋体"/>
          <w:b/>
          <w:bCs/>
          <w:color w:val="000000" w:themeColor="text1"/>
          <w:sz w:val="24"/>
          <w:szCs w:val="24"/>
          <w:lang w:val="en-US" w:eastAsia="zh-CN"/>
        </w:rPr>
      </w:pPr>
      <w:r>
        <w:rPr>
          <w:rFonts w:hint="eastAsia" w:ascii="宋体" w:hAnsi="宋体" w:eastAsia="宋体" w:cs="宋体"/>
          <w:b/>
          <w:bCs/>
          <w:color w:val="000000" w:themeColor="text1"/>
          <w:sz w:val="24"/>
          <w:szCs w:val="24"/>
        </w:rPr>
        <w:t>★</w:t>
      </w:r>
      <w:r>
        <w:rPr>
          <w:rFonts w:hint="eastAsia" w:ascii="宋体" w:hAnsi="宋体" w:eastAsia="宋体" w:cs="宋体"/>
          <w:b/>
          <w:bCs/>
          <w:color w:val="000000" w:themeColor="text1"/>
          <w:sz w:val="24"/>
          <w:szCs w:val="24"/>
          <w:lang w:val="en-US" w:eastAsia="zh-CN"/>
        </w:rPr>
        <w:t>采购包1其他商务要求</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8、验收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（1）验收标准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中标人所提供的系统必须是最新设计的最新版本。所有系统按厂家验收标准（符合国家或行业或地方标准）、招标文件、中标人投标文件等有关内容进行验收。中标人提供系统的制造标准及系统技术规范等有关资料必须符合中国相应有关标准、规范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（2）验收程序和方法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系统验收按照以下程序进行：</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合同初验：中标人提供实施服务达到本文件规定的指标，进行项目合同初验。验收规范应由中标人提前7个工作日提交给采购人，采购人可根据合同、招投标文件和采购人的有关规定进行修改和补充，经双方确认后形成验收规范作为验收依据。合同初验合格后，签署合同初验相关文件，进入试运行阶段。</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系统移交采购人投入为期1个月试运行，试运行无误后进入项目合同终验阶段。在试运行期间，如发现系统质量问题，系统某一项指标不能满足技术规范要求时，中标人必须在24小时内响应并排除故障。如果系统整体性测试未达到要求，并且没有在采购人规定时间内改善的，经采购人确认，有权中止合同，中标人根据合同进行赔偿。</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合同终验：系统试运行无误并实现预期功能后，且中标人向采购人提交《合同终验申请报告》的5个工作日内，采购人应当组织相关人员按照本合同约定的验收标准对系统进行初步业务验收。双方共同签署《合同终验验收报告》后，合同终验验收合格。</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（3）项目成果交付</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1）本项目所涉及的与运行版本一致的所有完整安装程序。</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2）系统产品和设计成果需完整安装在采购人指定的服务器上，并保障系统运行稳定、访问正常。</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系统开发文档，参照计算机软件文档编制规范（GB/T8567-2006）提供相应文档，包括：《用户需求说明书》《概要设计说明书》《安装部署手册》《测试计划》《系统测试报告》《用户手册》《系统上线报告》《培训确认报告》《验收报告》。</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4）技术文档内容应满足标准体系中有关应用软件文档编制规范标准要求。提供的文档和资料均应以纸张和光盘为载体，文件格式为Word文档或其他可视化、未加密的文件</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（4）项目建设过程直至最终验收合格所产生的相关费用由中标人承担（并入投标报价内）。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9、实施及售后要求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本项目的开发与建设需由业务水平高、技术能力强的项目管理人员、系统设计人员、编程人员、测试人员和质量控制人员组成项目组。</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采购包1 投标人在项目建设期内需为本次项目提供的专职研发人员不少于5人。</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中标人应提供系统3年免费质保服务，质保期内必须提供 7×24 小时的服务支持，在服务期内免费提供系统的重新安装与调试、所有购置的软件产品或组件的升级、调整与修改完善、系统优化、系统恢复服务、故障处理与应急响应、例行巡检、协助用户建立系统安全管理和系统使用管理制度、为用户提供系统升级的合理建议、对用户进行技术培训等。在接到采购人通知后，电话响应时间在 1 小时内，电话或邮件等远程方式无法解决的须在 4 小时内提供到达现场的技术支持。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10、项目工期要求</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采购包1中标方应在合同签订后5个月内完成需求调研、应用系统开发及测试、安装部署。</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11、培训要求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中标方应负责免费对采购方的使用人员及维护人员进行技术培训并提供相关技术资料。现场培训内容包括软件维护和操作培训。中标方安排培训讲师对使用系统不同对象进行集中培训授课，用户培训后能够熟练掌握和使用所培训的技术内容，能够独立承担属于培训内容方面的工作任务。中标方应提供完整的培训计划，包括培训方式、课程内容、人数、时间、场地等。所有培训费用由中标人承担。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12、知识产权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（1）在本项目内产生的新知识产权归采购人所有，中标人须得到采购人使用许可才能使用知识产权。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（2）本项目签订的合同生效之日前既有的产品、代码的知识产权仍然归属原权利人所有。 不因本项目合同的执行发生任何转移，但不限制源代码复用，且本项目交付的源代码仅限采购人使用。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（3）中标人须保证采购人使用产品或产品的任何一部分时，免受第三方提出侵犯其专利权、商标或工业设计权等知识产权的起诉。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中标人须保证项目期间所使用的相关支撑环境和软硬件工具的正版授权，以确保性能和安全方面的实际需求得到满足。且中标后合同签订前必须明确运行环境的详细构成，并提供相应的方案进行说明。如果系统建设过程中使用了其他商业软件，必须保证正版授权和永久使用授权，签</w:t>
      </w:r>
      <w:r>
        <w:rPr>
          <w:rFonts w:hint="eastAsia" w:ascii="宋体" w:hAnsi="宋体" w:cs="宋体"/>
          <w:color w:val="000000" w:themeColor="text1"/>
          <w:sz w:val="24"/>
          <w:szCs w:val="24"/>
          <w:lang w:val="en-US" w:eastAsia="zh-CN"/>
        </w:rPr>
        <w:t>订</w:t>
      </w:r>
      <w:r>
        <w:rPr>
          <w:rFonts w:hint="eastAsia" w:ascii="宋体" w:hAnsi="宋体" w:eastAsia="宋体" w:cs="宋体"/>
          <w:color w:val="000000" w:themeColor="text1"/>
          <w:sz w:val="24"/>
          <w:szCs w:val="24"/>
        </w:rPr>
        <w:t xml:space="preserve">所产生的费用由中标人自行承担。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13、违约责任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（1）因中标人原因造成采购合同无法按时签订，视为中标人违约，中标人违约对采购人造成的损失的，需另行支付相应的赔偿。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（2）在采购合同之后，中标人要求解除合同的，视为中标人违约，对采购人造成的损失的，中标人需支付相应的赔偿。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（3）因中标人原因发生重大质量事故，除承担赔偿责任外，还将按有关质量管理办法规定执行。同时，采购人有权保留更换中标人的权利，并报相关行政主管部门处罚。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（4）在明确违约责任后，中标人应在接到书面通知书起七天内支付违约金、赔偿金等。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（5）违约赔偿总额不超过合同总金额。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（6）给采购人造成损失，采购人有权要求中标人赔偿由此造成的损失（包括实际损失和合同履行后可以获得的利益及合理的调查费、产生纠纷所支付的律师费等相关法律费用）。</w:t>
      </w:r>
    </w:p>
    <w:p>
      <w:pPr>
        <w:pStyle w:val="41"/>
        <w:ind w:firstLine="480"/>
        <w:jc w:val="both"/>
        <w:rPr>
          <w:rFonts w:hint="eastAsia" w:ascii="宋体" w:hAnsi="宋体" w:eastAsia="宋体" w:cs="宋体"/>
          <w:color w:val="000000" w:themeColor="text1"/>
          <w:sz w:val="24"/>
          <w:szCs w:val="24"/>
        </w:rPr>
      </w:pPr>
    </w:p>
    <w:p>
      <w:pPr>
        <w:pStyle w:val="41"/>
        <w:ind w:firstLine="480"/>
        <w:jc w:val="both"/>
        <w:rPr>
          <w:rFonts w:hint="eastAsia" w:ascii="宋体" w:hAnsi="宋体" w:eastAsia="宋体" w:cs="宋体"/>
          <w:b/>
          <w:bCs/>
          <w:color w:val="000000" w:themeColor="text1"/>
          <w:sz w:val="24"/>
          <w:szCs w:val="24"/>
          <w:lang w:val="en-US" w:eastAsia="zh-CN"/>
        </w:rPr>
      </w:pPr>
      <w:r>
        <w:rPr>
          <w:rFonts w:hint="eastAsia" w:ascii="宋体" w:hAnsi="宋体" w:eastAsia="宋体" w:cs="宋体"/>
          <w:b/>
          <w:bCs/>
          <w:color w:val="000000" w:themeColor="text1"/>
          <w:sz w:val="24"/>
          <w:szCs w:val="24"/>
        </w:rPr>
        <w:t>★</w:t>
      </w:r>
      <w:r>
        <w:rPr>
          <w:rFonts w:hint="eastAsia" w:ascii="宋体" w:hAnsi="宋体" w:eastAsia="宋体" w:cs="宋体"/>
          <w:b/>
          <w:bCs/>
          <w:color w:val="000000" w:themeColor="text1"/>
          <w:sz w:val="24"/>
          <w:szCs w:val="24"/>
          <w:lang w:val="en-US" w:eastAsia="zh-CN"/>
        </w:rPr>
        <w:t>采购包2其他商务要求</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8、验收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（1）验收标准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中标人所提供的系统必须是最新设计的最新版本。所有系统按厂家验收标准（符合国家或行业或地方标准）、招标文件、中标人投标文件等有关内容进行验收。中标人提供系统的制造标准及系统技术规范等有关资料必须符合中国相应有关标准、规范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（2）验收程序和方法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系统验收按照以下程序进行：</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合同初验：中标人提供实施服务达到本文件规定的指标，进行项目合同初验。验收规范应由中标人提前7个工作日提交给采购人，采购人可根据合同、招投标文件和采购人的有关规定进行修改和补充，经双方确认后形成验收规范作为验收依据。合同初验合格后，签署合同初验相关文件，进入试运行阶段。</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系统移交采购人投入为期1个月试运行，试运行无误后进入项目合同终验阶段。在试运行期间，如发现系统质量问题，系统某一项指标不能满足技术规范要求时，中标人必须在24小时内响应并排除故障。如果系统整体性测试未达到要求，并且没有在采购人规定时间内改善的，经采购人确认，有权中止合同，中标人根据合同进行赔偿。</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合同终验：系统试运行无误并实现预期功能后，且中标人向采购人提交《合同终验申请报告》的5个工作日内，采购人应当组织相关人员按照本合同约定的验收标准对系统进行初步业务验收。双方共同签署《合同终验验收报告》后，合同终验验收合格。</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（3）项目成果交付</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1）本项目所涉及的与运行版本一致的所有完整安装程序。</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2）系统产品和设计成果需完整安装在采购人指定的服务器上，并保障系统运行稳定、访问正常。</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系统开发文档，参照计算机软件文档编制规范（GB/T8567-2006）提供相应文档，包括：《用户需求说明书》《概要设计说明书》《安装部署手册》《测试计划》《系统测试报告》《用户手册》《系统上线报告》《培训确认报告》《验收报告》。</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4）技术文档内容应满足标准体系中有关应用软件文档编制规范标准要求。提供的文档和资料均应以纸张和光盘为载体，文件格式为Word文档或其他可视化、未加密的文件</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（4）项目建设过程直至最终验收合格所产生的相关费用由中标人承担（并入投标报价内）。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9、实施及售后要求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本项目的开发与建设需由业务水平高、技术能力强的项目管理人员、系统设计人员、编程人员、测试人员和质量控制人员组成项目组。</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中标人应提供系统3年免费质保服务，质保期内必须提供 7×24 小时的服务支持，在服务期内免费提供系统的重新安装与调试、所有购置的软件产品或组件的升级、调整与修改完善、系统优化、系统恢复服务、故障处理与应急响应、例行巡检、协助用户建立系统安全管理和系统使用管理制度、为用户提供系统升级的合理建议、对用户进行技术培训等。在接到采购人通知后，电话响应时间在 1 小时内，电话或邮件等远程方式无法解决的须在 4 小时内提供到达现场的技术支持。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10、项目工期要求</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采购包2中标方应在合同签订后</w:t>
      </w:r>
      <w:r>
        <w:rPr>
          <w:rFonts w:hint="eastAsia" w:ascii="宋体" w:hAnsi="宋体" w:eastAsia="宋体" w:cs="宋体"/>
          <w:color w:val="000000" w:themeColor="text1"/>
          <w:sz w:val="24"/>
          <w:szCs w:val="24"/>
          <w:lang w:val="en-US" w:eastAsia="zh-CN"/>
        </w:rPr>
        <w:t>3</w:t>
      </w:r>
      <w:r>
        <w:rPr>
          <w:rFonts w:hint="eastAsia" w:ascii="宋体" w:hAnsi="宋体" w:eastAsia="宋体" w:cs="宋体"/>
          <w:color w:val="000000" w:themeColor="text1"/>
          <w:sz w:val="24"/>
          <w:szCs w:val="24"/>
        </w:rPr>
        <w:t>个月内完成需求调研、应用系统开发及测试、安装部署。</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11、培训要求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中标方应负责免费对采购方的使用人员及维护人员进行技术培训并提供相关技术资料。现场培训内容包括软件维护和操作培训。中标方安排培训讲师对使用系统不同对象进行集中培训授课，用户培训后能够熟练掌握和使用所培训的技术内容，能够独立承担属于培训内容方面的工作任务。中标方应提供完整的培训计划，包括培训方式、课程内容、人数、时间、场地等。</w:t>
      </w:r>
      <w:r>
        <w:rPr>
          <w:rFonts w:hint="eastAsia" w:ascii="宋体" w:hAnsi="宋体" w:eastAsia="宋体" w:cs="宋体"/>
          <w:bCs w:val="0"/>
          <w:color w:val="000000" w:themeColor="text1"/>
          <w:sz w:val="24"/>
          <w:szCs w:val="24"/>
          <w:shd w:val="clear"/>
        </w:rPr>
        <w:t>所有培训费用由中标人承担。</w:t>
      </w:r>
      <w:r>
        <w:rPr>
          <w:rFonts w:hint="eastAsia" w:ascii="宋体" w:hAnsi="宋体" w:eastAsia="宋体" w:cs="宋体"/>
          <w:color w:val="000000" w:themeColor="text1"/>
          <w:sz w:val="24"/>
          <w:szCs w:val="24"/>
        </w:rPr>
        <w:t xml:space="preserve">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12、知识产权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（1）在本项目内产生的新知识产权归采购人所有，中标人须得到采购人使用许可才能使用知识产权。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（2）本项目签订的合同生效之日前既有的产品、代码的知识产权仍然归属原权利人所有。 不因本项目合同的执行发生任何转移，但不限制源代码复用，且本项目交付的源代码仅限采购人使用。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（3）中标人须保证采购人使用产品或产品的任何一部分时，免受第三方提出侵犯其专利权、商标或工业设计权等知识产权的起诉。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4）中标人须保证项目期间所使用的相关支撑环境和软硬件工具的正版授权，以确保性能和安全方面的实际需求得到满足。且中标后合同签订前必须明确运行环境的详细构成，并提供相应的方案进行说明。如果系统建设过程中使用了其他商业软件，必须保证正版授权和永久使用授权，所产生的费用由中标人自行承担。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13、违约责任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（1）因中标人原因造成采购合同无法按时签订，视为中标人违约，中标人违约对采购人造成的损失的，需另行支付相应的赔偿。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（2）在签</w:t>
      </w:r>
      <w:r>
        <w:rPr>
          <w:rFonts w:hint="eastAsia" w:ascii="宋体" w:hAnsi="宋体" w:cs="宋体"/>
          <w:color w:val="000000" w:themeColor="text1"/>
          <w:sz w:val="24"/>
          <w:szCs w:val="24"/>
          <w:lang w:val="en-US" w:eastAsia="zh-CN"/>
        </w:rPr>
        <w:t>订</w:t>
      </w:r>
      <w:bookmarkStart w:id="13" w:name="_GoBack"/>
      <w:bookmarkEnd w:id="13"/>
      <w:r>
        <w:rPr>
          <w:rFonts w:hint="eastAsia" w:ascii="宋体" w:hAnsi="宋体" w:eastAsia="宋体" w:cs="宋体"/>
          <w:color w:val="000000" w:themeColor="text1"/>
          <w:sz w:val="24"/>
          <w:szCs w:val="24"/>
        </w:rPr>
        <w:t xml:space="preserve">采购合同之后，中标人要求解除合同的，视为中标人违约，对采购人造成的损失的，中标人需支付相应的赔偿。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（3）因中标人原因发生重大质量事故，除承担赔偿责任外，还将按有关质量管理办法规定执行。同时，采购人有权保留更换中标人的权利，并报相关行政主管部门处罚。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（4）在明确违约责任后，中标人应在接到书面通知书起七天内支付违约金、赔偿金等。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（5）违约赔偿总额不超过合同总金额。 </w:t>
      </w:r>
    </w:p>
    <w:p>
      <w:pPr>
        <w:pStyle w:val="41"/>
        <w:ind w:firstLine="48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（6）给采购人造成损失，采购人有权要求中标人赔偿由此造成的损失（包括实际损失和合同履行后可以获得的利益及合理的调查费、产生纠纷所支付的律师费等相关法律费用）。</w:t>
      </w:r>
    </w:p>
    <w:p>
      <w:pPr>
        <w:pStyle w:val="41"/>
        <w:ind w:firstLine="480"/>
        <w:jc w:val="both"/>
        <w:rPr>
          <w:rFonts w:hint="eastAsia" w:ascii="宋体" w:hAnsi="宋体" w:eastAsia="宋体" w:cs="宋体"/>
          <w:b/>
          <w:color w:val="000000" w:themeColor="text1"/>
          <w:sz w:val="24"/>
          <w:szCs w:val="24"/>
          <w:lang w:eastAsia="zh-CN"/>
        </w:rPr>
      </w:pPr>
      <w:r>
        <w:rPr>
          <w:rFonts w:hint="eastAsia" w:ascii="宋体" w:hAnsi="宋体" w:eastAsia="宋体" w:cs="宋体"/>
          <w:b/>
          <w:color w:val="000000" w:themeColor="text1"/>
          <w:sz w:val="24"/>
          <w:szCs w:val="24"/>
        </w:rPr>
        <w:t>★注：所有商务要求均为不允许偏离的实质性要求，若负偏离则按无效投标处理。</w:t>
      </w:r>
      <w:r>
        <w:rPr>
          <w:rFonts w:hint="eastAsia" w:ascii="宋体" w:hAnsi="宋体" w:eastAsia="宋体" w:cs="宋体"/>
          <w:b/>
          <w:color w:val="000000" w:themeColor="text1"/>
          <w:sz w:val="24"/>
          <w:szCs w:val="24"/>
          <w:lang w:eastAsia="zh-CN"/>
        </w:rPr>
        <w:t>（</w:t>
      </w:r>
      <w:r>
        <w:rPr>
          <w:rFonts w:hint="eastAsia" w:ascii="宋体" w:hAnsi="宋体" w:eastAsia="宋体" w:cs="宋体"/>
          <w:b/>
          <w:color w:val="000000" w:themeColor="text1"/>
          <w:sz w:val="24"/>
          <w:szCs w:val="24"/>
          <w:lang w:val="en-US" w:eastAsia="zh-CN"/>
        </w:rPr>
        <w:t>以此为准</w:t>
      </w:r>
      <w:r>
        <w:rPr>
          <w:rFonts w:hint="eastAsia" w:ascii="宋体" w:hAnsi="宋体" w:eastAsia="宋体" w:cs="宋体"/>
          <w:b/>
          <w:color w:val="000000" w:themeColor="text1"/>
          <w:sz w:val="24"/>
          <w:szCs w:val="24"/>
          <w:lang w:eastAsia="zh-CN"/>
        </w:rPr>
        <w:t>）</w:t>
      </w:r>
    </w:p>
    <w:p>
      <w:pPr>
        <w:ind w:firstLine="31680"/>
        <w:rPr>
          <w:rFonts w:hint="eastAsia" w:ascii="宋体" w:hAnsi="宋体" w:eastAsia="宋体" w:cs="宋体"/>
          <w:color w:val="000000" w:themeColor="text1"/>
        </w:rPr>
      </w:pPr>
    </w:p>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1680"/>
    </w:pPr>
    <w:r>
      <w:pict>
        <v:shape id="_x0000_s4097" o:spid="_x0000_s4097" o:spt="202" type="#_x0000_t202" style="position:absolute;left:0pt;margin-top:0pt;height:28pt;width:38.5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">
          <v:path arrowok="t"/>
          <v:fill on="f" focussize="0,0"/>
          <v:stroke on="f" weight="0.5pt" joinstyle="miter"/>
          <v:imagedata o:title=""/>
          <o:lock v:ext="edit"/>
          <v:textbox inset="0mm,0mm,0mm,0mm" style="mso-fit-shape-to-text:t;">
            <w:txbxContent>
              <w:p>
                <w:pPr>
                  <w:pStyle w:val="14"/>
                  <w:ind w:firstLine="31680"/>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16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top w:val="none" w:color="auto" w:sz="0" w:space="0"/>
        <w:left w:val="none" w:color="auto" w:sz="0" w:space="0"/>
        <w:bottom w:val="none" w:color="auto" w:sz="0" w:space="0"/>
        <w:right w:val="none" w:color="auto" w:sz="0" w:space="0"/>
      </w:pBdr>
      <w:ind w:firstLine="316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top w:val="none" w:color="auto" w:sz="0" w:space="0"/>
        <w:left w:val="none" w:color="auto" w:sz="0" w:space="0"/>
        <w:bottom w:val="none" w:color="auto" w:sz="0" w:space="0"/>
        <w:right w:val="none" w:color="auto" w:sz="0" w:space="0"/>
      </w:pBdr>
      <w:ind w:firstLine="316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E7BCBC"/>
    <w:multiLevelType w:val="singleLevel"/>
    <w:tmpl w:val="C0E7BCBC"/>
    <w:lvl w:ilvl="0" w:tentative="0">
      <w:start w:val="1"/>
      <w:numFmt w:val="decimal"/>
      <w:lvlText w:val="%1)"/>
      <w:lvlJc w:val="left"/>
      <w:pPr>
        <w:ind w:left="905" w:hanging="425"/>
      </w:pPr>
      <w:rPr>
        <w:rFonts w:hint="default" w:cs="Times New Roman"/>
      </w:rPr>
    </w:lvl>
  </w:abstractNum>
  <w:abstractNum w:abstractNumId="1">
    <w:nsid w:val="E2AD361A"/>
    <w:multiLevelType w:val="singleLevel"/>
    <w:tmpl w:val="E2AD361A"/>
    <w:lvl w:ilvl="0" w:tentative="0">
      <w:start w:val="1"/>
      <w:numFmt w:val="decimal"/>
      <w:lvlText w:val="%1."/>
      <w:lvlJc w:val="left"/>
      <w:pPr>
        <w:ind w:left="905" w:hanging="425"/>
      </w:pPr>
      <w:rPr>
        <w:rFonts w:hint="default" w:cs="Times New Roman"/>
      </w:rPr>
    </w:lvl>
  </w:abstractNum>
  <w:abstractNum w:abstractNumId="2">
    <w:nsid w:val="7F721DF6"/>
    <w:multiLevelType w:val="multilevel"/>
    <w:tmpl w:val="7F721DF6"/>
    <w:lvl w:ilvl="0" w:tentative="0">
      <w:start w:val="1"/>
      <w:numFmt w:val="decimal"/>
      <w:suff w:val="space"/>
      <w:lvlText w:val="第%1章"/>
      <w:lvlJc w:val="left"/>
      <w:rPr>
        <w:rFonts w:hint="eastAsia" w:cs="Times New Roman"/>
      </w:rPr>
    </w:lvl>
    <w:lvl w:ilvl="1" w:tentative="0">
      <w:start w:val="1"/>
      <w:numFmt w:val="decimal"/>
      <w:suff w:val="space"/>
      <w:lvlText w:val="%1.%2."/>
      <w:lvlJc w:val="left"/>
      <w:rPr>
        <w:rFonts w:hint="eastAsia" w:cs="Times New Roman"/>
      </w:rPr>
    </w:lvl>
    <w:lvl w:ilvl="2" w:tentative="0">
      <w:start w:val="1"/>
      <w:numFmt w:val="decimal"/>
      <w:suff w:val="space"/>
      <w:lvlText w:val="%1.%2.%3."/>
      <w:lvlJc w:val="left"/>
      <w:rPr>
        <w:rFonts w:hint="eastAsia" w:cs="Times New Roman"/>
      </w:rPr>
    </w:lvl>
    <w:lvl w:ilvl="3" w:tentative="0">
      <w:start w:val="1"/>
      <w:numFmt w:val="decimal"/>
      <w:suff w:val="space"/>
      <w:lvlText w:val="%1.%2.%3.%4."/>
      <w:lvlJc w:val="left"/>
      <w:rPr>
        <w:rFonts w:hint="eastAsia" w:cs="Times New Roman"/>
      </w:rPr>
    </w:lvl>
    <w:lvl w:ilvl="4" w:tentative="0">
      <w:start w:val="1"/>
      <w:numFmt w:val="decimal"/>
      <w:pStyle w:val="8"/>
      <w:suff w:val="space"/>
      <w:lvlText w:val="%1.%2.%3.%4.%5."/>
      <w:lvlJc w:val="left"/>
      <w:rPr>
        <w:rFonts w:hint="eastAsia" w:cs="Times New Roman"/>
      </w:rPr>
    </w:lvl>
    <w:lvl w:ilvl="5" w:tentative="0">
      <w:start w:val="1"/>
      <w:numFmt w:val="decimal"/>
      <w:pStyle w:val="9"/>
      <w:suff w:val="space"/>
      <w:lvlText w:val="%1.%2.%3.%4.%5.%6."/>
      <w:lvlJc w:val="left"/>
      <w:rPr>
        <w:rFonts w:hint="eastAsia" w:cs="Times New Roman"/>
      </w:rPr>
    </w:lvl>
    <w:lvl w:ilvl="6" w:tentative="0">
      <w:start w:val="1"/>
      <w:numFmt w:val="decimal"/>
      <w:suff w:val="space"/>
      <w:lvlText w:val="%1.%2.%3.%4.%5.%6.%7."/>
      <w:lvlJc w:val="left"/>
      <w:rPr>
        <w:rFonts w:hint="eastAsia" w:cs="Times New Roman"/>
      </w:rPr>
    </w:lvl>
    <w:lvl w:ilvl="7" w:tentative="0">
      <w:start w:val="1"/>
      <w:numFmt w:val="decimal"/>
      <w:suff w:val="space"/>
      <w:lvlText w:val="%1.%2.%3.%4.%5.%6.%7.%8."/>
      <w:lvlJc w:val="left"/>
      <w:rPr>
        <w:rFonts w:hint="eastAsia" w:cs="Times New Roman"/>
      </w:rPr>
    </w:lvl>
    <w:lvl w:ilvl="8" w:tentative="0">
      <w:start w:val="1"/>
      <w:numFmt w:val="decimal"/>
      <w:suff w:val="space"/>
      <w:lvlText w:val="%1.%2.%3.%4.%5.%6.%7.%8.%9."/>
      <w:lvlJc w:val="left"/>
      <w:rPr>
        <w:rFonts w:hint="eastAsia" w:cs="Times New Roman"/>
      </w:r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ZjZjA2N2Y3NWJmNzk4YTBjN2MxMTE0YWEyZWE2MDkifQ=="/>
  </w:docVars>
  <w:rsids>
    <w:rsidRoot w:val="007D12BD"/>
    <w:rsid w:val="0007178C"/>
    <w:rsid w:val="000A0726"/>
    <w:rsid w:val="000A5E15"/>
    <w:rsid w:val="000C2373"/>
    <w:rsid w:val="000D62CE"/>
    <w:rsid w:val="000F439C"/>
    <w:rsid w:val="0014224D"/>
    <w:rsid w:val="001547C3"/>
    <w:rsid w:val="001B66CD"/>
    <w:rsid w:val="002126F6"/>
    <w:rsid w:val="002736F3"/>
    <w:rsid w:val="002B7E2A"/>
    <w:rsid w:val="002C6C28"/>
    <w:rsid w:val="0031116F"/>
    <w:rsid w:val="00341D8C"/>
    <w:rsid w:val="003A6F54"/>
    <w:rsid w:val="003B27BC"/>
    <w:rsid w:val="003F2D09"/>
    <w:rsid w:val="003F3DC5"/>
    <w:rsid w:val="004C5FC6"/>
    <w:rsid w:val="004E17B7"/>
    <w:rsid w:val="00506B2A"/>
    <w:rsid w:val="005131FB"/>
    <w:rsid w:val="00533378"/>
    <w:rsid w:val="0056434B"/>
    <w:rsid w:val="0056506F"/>
    <w:rsid w:val="00680590"/>
    <w:rsid w:val="006827AD"/>
    <w:rsid w:val="006B236D"/>
    <w:rsid w:val="006B5A76"/>
    <w:rsid w:val="006B6469"/>
    <w:rsid w:val="006B717B"/>
    <w:rsid w:val="006D4E34"/>
    <w:rsid w:val="006F5978"/>
    <w:rsid w:val="00716A24"/>
    <w:rsid w:val="007703D2"/>
    <w:rsid w:val="007B2511"/>
    <w:rsid w:val="007D12BD"/>
    <w:rsid w:val="00805939"/>
    <w:rsid w:val="0084168D"/>
    <w:rsid w:val="00855533"/>
    <w:rsid w:val="008954FA"/>
    <w:rsid w:val="008A3B48"/>
    <w:rsid w:val="008E21B0"/>
    <w:rsid w:val="008E5AEE"/>
    <w:rsid w:val="00906453"/>
    <w:rsid w:val="00930CA4"/>
    <w:rsid w:val="0096255A"/>
    <w:rsid w:val="009D292E"/>
    <w:rsid w:val="00A11173"/>
    <w:rsid w:val="00A5241C"/>
    <w:rsid w:val="00A80BC8"/>
    <w:rsid w:val="00AA6E39"/>
    <w:rsid w:val="00AB61BD"/>
    <w:rsid w:val="00AD1378"/>
    <w:rsid w:val="00B31228"/>
    <w:rsid w:val="00B4537A"/>
    <w:rsid w:val="00B46C1B"/>
    <w:rsid w:val="00B60FF9"/>
    <w:rsid w:val="00B76470"/>
    <w:rsid w:val="00BC7ED9"/>
    <w:rsid w:val="00BE3E23"/>
    <w:rsid w:val="00C607D9"/>
    <w:rsid w:val="00CE7A47"/>
    <w:rsid w:val="00D43DA1"/>
    <w:rsid w:val="00D94947"/>
    <w:rsid w:val="00DA30F2"/>
    <w:rsid w:val="00DA626B"/>
    <w:rsid w:val="00DB49CE"/>
    <w:rsid w:val="00DD347D"/>
    <w:rsid w:val="00E04E52"/>
    <w:rsid w:val="00E22232"/>
    <w:rsid w:val="00E2352A"/>
    <w:rsid w:val="00E41B1C"/>
    <w:rsid w:val="00E734CE"/>
    <w:rsid w:val="00E81AF4"/>
    <w:rsid w:val="00ED0844"/>
    <w:rsid w:val="00ED2C64"/>
    <w:rsid w:val="00F130D5"/>
    <w:rsid w:val="00F239C9"/>
    <w:rsid w:val="00F5481C"/>
    <w:rsid w:val="00F761DF"/>
    <w:rsid w:val="00FB7CA9"/>
    <w:rsid w:val="03CE2B18"/>
    <w:rsid w:val="071F0864"/>
    <w:rsid w:val="0A451B2B"/>
    <w:rsid w:val="0B140F45"/>
    <w:rsid w:val="0F2B2B80"/>
    <w:rsid w:val="0F4B5692"/>
    <w:rsid w:val="115D4462"/>
    <w:rsid w:val="14FB15C6"/>
    <w:rsid w:val="1BB77CA0"/>
    <w:rsid w:val="1D1A58FD"/>
    <w:rsid w:val="202E0F84"/>
    <w:rsid w:val="21D3730A"/>
    <w:rsid w:val="22010E3A"/>
    <w:rsid w:val="254F26DC"/>
    <w:rsid w:val="260138C1"/>
    <w:rsid w:val="26A12BEB"/>
    <w:rsid w:val="2B092F42"/>
    <w:rsid w:val="306730ED"/>
    <w:rsid w:val="30B0368B"/>
    <w:rsid w:val="34987964"/>
    <w:rsid w:val="380767D9"/>
    <w:rsid w:val="39B92B95"/>
    <w:rsid w:val="3B1447D8"/>
    <w:rsid w:val="3B5E3B76"/>
    <w:rsid w:val="3F75685F"/>
    <w:rsid w:val="40A13ABC"/>
    <w:rsid w:val="41FD12E0"/>
    <w:rsid w:val="4493014A"/>
    <w:rsid w:val="48485239"/>
    <w:rsid w:val="491E3E45"/>
    <w:rsid w:val="503C5BB2"/>
    <w:rsid w:val="55133991"/>
    <w:rsid w:val="5D7C2B23"/>
    <w:rsid w:val="68BE2BAE"/>
    <w:rsid w:val="722566DC"/>
    <w:rsid w:val="7C3E1BE4"/>
    <w:rsid w:val="7C5410EA"/>
    <w:rsid w:val="7C935BE5"/>
    <w:rsid w:val="7FF123E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nhideWhenUsed="0" w:uiPriority="99" w:semiHidden="0" w:name="heading 3" w:locked="1"/>
    <w:lsdException w:qFormat="1" w:unhideWhenUsed="0" w:uiPriority="99" w:semiHidden="0" w:name="heading 4" w:locked="1"/>
    <w:lsdException w:qFormat="1" w:unhideWhenUsed="0" w:uiPriority="99" w:semiHidden="0" w:name="heading 5"/>
    <w:lsdException w:qFormat="1" w:unhideWhenUsed="0" w:uiPriority="99" w:semiHidden="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ocked="1"/>
    <w:lsdException w:uiPriority="99" w:name="footnote text" w:locked="1"/>
    <w:lsdException w:qFormat="1" w:unhideWhenUsed="0"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ocked="1"/>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ocked="1"/>
    <w:lsdException w:qFormat="1" w:unhideWhenUsed="0" w:uiPriority="9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pPr>
    <w:rPr>
      <w:rFonts w:ascii="Times New Roman" w:hAnsi="Times New Roman" w:eastAsia="宋体" w:cs="Times New Roman"/>
      <w:kern w:val="2"/>
      <w:sz w:val="32"/>
      <w:szCs w:val="24"/>
      <w:lang w:val="en-US" w:eastAsia="zh-CN" w:bidi="ar-SA"/>
    </w:rPr>
  </w:style>
  <w:style w:type="paragraph" w:styleId="2">
    <w:name w:val="heading 1"/>
    <w:basedOn w:val="1"/>
    <w:next w:val="1"/>
    <w:link w:val="23"/>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4"/>
    <w:qFormat/>
    <w:locked/>
    <w:uiPriority w:val="99"/>
    <w:pPr>
      <w:keepNext/>
      <w:keepLines/>
      <w:widowControl/>
      <w:spacing w:before="260" w:after="260" w:line="416" w:lineRule="auto"/>
      <w:outlineLvl w:val="1"/>
    </w:pPr>
    <w:rPr>
      <w:rFonts w:ascii="Calibri Light" w:hAnsi="Calibri Light"/>
      <w:b/>
      <w:bCs/>
      <w:kern w:val="0"/>
      <w:szCs w:val="32"/>
    </w:rPr>
  </w:style>
  <w:style w:type="paragraph" w:styleId="4">
    <w:name w:val="heading 3"/>
    <w:basedOn w:val="1"/>
    <w:next w:val="5"/>
    <w:link w:val="25"/>
    <w:qFormat/>
    <w:locked/>
    <w:uiPriority w:val="99"/>
    <w:pPr>
      <w:keepNext/>
      <w:keepLines/>
      <w:widowControl/>
      <w:spacing w:before="260" w:after="260" w:line="416" w:lineRule="auto"/>
      <w:outlineLvl w:val="2"/>
    </w:pPr>
    <w:rPr>
      <w:b/>
      <w:bCs/>
      <w:kern w:val="0"/>
      <w:szCs w:val="32"/>
    </w:rPr>
  </w:style>
  <w:style w:type="paragraph" w:styleId="6">
    <w:name w:val="heading 4"/>
    <w:basedOn w:val="1"/>
    <w:next w:val="7"/>
    <w:link w:val="26"/>
    <w:qFormat/>
    <w:locked/>
    <w:uiPriority w:val="99"/>
    <w:pPr>
      <w:keepNext/>
      <w:keepLines/>
      <w:spacing w:before="280" w:after="290" w:line="376" w:lineRule="auto"/>
      <w:outlineLvl w:val="3"/>
    </w:pPr>
    <w:rPr>
      <w:rFonts w:ascii="Cambria" w:hAnsi="Cambria"/>
      <w:b/>
      <w:bCs/>
      <w:sz w:val="28"/>
      <w:szCs w:val="28"/>
    </w:rPr>
  </w:style>
  <w:style w:type="paragraph" w:styleId="8">
    <w:name w:val="heading 5"/>
    <w:basedOn w:val="1"/>
    <w:next w:val="7"/>
    <w:qFormat/>
    <w:uiPriority w:val="99"/>
    <w:pPr>
      <w:keepNext/>
      <w:keepLines/>
      <w:numPr>
        <w:ilvl w:val="4"/>
        <w:numId w:val="1"/>
      </w:numPr>
      <w:spacing w:before="100" w:after="100" w:line="360" w:lineRule="auto"/>
      <w:outlineLvl w:val="4"/>
    </w:pPr>
    <w:rPr>
      <w:b/>
      <w:bCs/>
      <w:sz w:val="24"/>
      <w:szCs w:val="28"/>
    </w:rPr>
  </w:style>
  <w:style w:type="paragraph" w:styleId="9">
    <w:name w:val="heading 6"/>
    <w:basedOn w:val="1"/>
    <w:next w:val="7"/>
    <w:qFormat/>
    <w:uiPriority w:val="99"/>
    <w:pPr>
      <w:keepNext/>
      <w:keepLines/>
      <w:numPr>
        <w:ilvl w:val="5"/>
        <w:numId w:val="1"/>
      </w:numPr>
      <w:spacing w:before="100" w:after="100" w:line="360" w:lineRule="auto"/>
      <w:outlineLvl w:val="5"/>
    </w:pPr>
    <w:rPr>
      <w:b/>
      <w:bCs/>
      <w:sz w:val="24"/>
      <w:szCs w:val="24"/>
    </w:rPr>
  </w:style>
  <w:style w:type="character" w:default="1" w:styleId="20">
    <w:name w:val="Default Paragraph Font"/>
    <w:semiHidden/>
    <w:qFormat/>
    <w:uiPriority w:val="99"/>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5">
    <w:name w:val="Normal Indent"/>
    <w:basedOn w:val="1"/>
    <w:qFormat/>
    <w:locked/>
    <w:uiPriority w:val="99"/>
    <w:pPr>
      <w:ind w:firstLine="200" w:firstLineChars="200"/>
    </w:pPr>
    <w:rPr>
      <w:sz w:val="24"/>
      <w:szCs w:val="20"/>
    </w:rPr>
  </w:style>
  <w:style w:type="paragraph" w:customStyle="1" w:styleId="7">
    <w:name w:val="FC正文"/>
    <w:basedOn w:val="1"/>
    <w:qFormat/>
    <w:uiPriority w:val="99"/>
    <w:pPr>
      <w:widowControl w:val="0"/>
      <w:snapToGrid w:val="0"/>
      <w:spacing w:beforeLines="50" w:afterLines="50" w:line="360" w:lineRule="auto"/>
      <w:ind w:firstLine="200" w:firstLineChars="200"/>
      <w:contextualSpacing/>
    </w:pPr>
    <w:rPr>
      <w:rFonts w:ascii="??_GB2312" w:hAnsi="宋体" w:cs="宋体"/>
      <w:sz w:val="28"/>
      <w:szCs w:val="28"/>
    </w:rPr>
  </w:style>
  <w:style w:type="paragraph" w:styleId="10">
    <w:name w:val="caption"/>
    <w:basedOn w:val="1"/>
    <w:next w:val="1"/>
    <w:link w:val="36"/>
    <w:qFormat/>
    <w:locked/>
    <w:uiPriority w:val="99"/>
    <w:rPr>
      <w:rFonts w:ascii="Arial" w:hAnsi="Arial" w:eastAsia="黑体"/>
      <w:kern w:val="0"/>
      <w:sz w:val="20"/>
      <w:szCs w:val="20"/>
    </w:rPr>
  </w:style>
  <w:style w:type="paragraph" w:styleId="11">
    <w:name w:val="annotation text"/>
    <w:basedOn w:val="1"/>
    <w:link w:val="27"/>
    <w:semiHidden/>
    <w:qFormat/>
    <w:locked/>
    <w:uiPriority w:val="99"/>
  </w:style>
  <w:style w:type="paragraph" w:styleId="12">
    <w:name w:val="Body Text"/>
    <w:basedOn w:val="1"/>
    <w:link w:val="28"/>
    <w:qFormat/>
    <w:uiPriority w:val="99"/>
    <w:rPr>
      <w:rFonts w:ascii="微软雅黑" w:hAnsi="微软雅黑" w:eastAsia="微软雅黑" w:cs="微软雅黑"/>
      <w:sz w:val="30"/>
      <w:szCs w:val="30"/>
    </w:rPr>
  </w:style>
  <w:style w:type="paragraph" w:styleId="13">
    <w:name w:val="Balloon Text"/>
    <w:basedOn w:val="1"/>
    <w:link w:val="29"/>
    <w:semiHidden/>
    <w:qFormat/>
    <w:locked/>
    <w:uiPriority w:val="99"/>
    <w:pPr>
      <w:spacing w:line="240" w:lineRule="auto"/>
    </w:pPr>
    <w:rPr>
      <w:sz w:val="18"/>
      <w:szCs w:val="18"/>
    </w:rPr>
  </w:style>
  <w:style w:type="paragraph" w:styleId="14">
    <w:name w:val="footer"/>
    <w:basedOn w:val="1"/>
    <w:link w:val="30"/>
    <w:qFormat/>
    <w:uiPriority w:val="99"/>
    <w:pPr>
      <w:tabs>
        <w:tab w:val="center" w:pos="4153"/>
        <w:tab w:val="right" w:pos="8306"/>
      </w:tabs>
      <w:snapToGrid w:val="0"/>
    </w:pPr>
    <w:rPr>
      <w:sz w:val="18"/>
    </w:rPr>
  </w:style>
  <w:style w:type="paragraph" w:styleId="15">
    <w:name w:val="header"/>
    <w:basedOn w:val="1"/>
    <w:link w:val="3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Normal (Web)"/>
    <w:basedOn w:val="1"/>
    <w:qFormat/>
    <w:locked/>
    <w:uiPriority w:val="99"/>
    <w:pPr>
      <w:widowControl/>
      <w:spacing w:before="100" w:beforeAutospacing="1" w:after="100" w:afterAutospacing="1" w:line="240" w:lineRule="atLeast"/>
    </w:pPr>
    <w:rPr>
      <w:rFonts w:ascii="宋体" w:hAnsi="宋体" w:cs="宋体"/>
      <w:kern w:val="0"/>
      <w:sz w:val="22"/>
      <w:szCs w:val="22"/>
    </w:rPr>
  </w:style>
  <w:style w:type="paragraph" w:styleId="17">
    <w:name w:val="annotation subject"/>
    <w:basedOn w:val="11"/>
    <w:next w:val="11"/>
    <w:link w:val="42"/>
    <w:semiHidden/>
    <w:qFormat/>
    <w:locked/>
    <w:uiPriority w:val="99"/>
    <w:rPr>
      <w:b/>
      <w:bCs/>
    </w:rPr>
  </w:style>
  <w:style w:type="table" w:styleId="19">
    <w:name w:val="Table Grid"/>
    <w:basedOn w:val="18"/>
    <w:qFormat/>
    <w:locked/>
    <w:uiPriority w:val="99"/>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1">
    <w:name w:val="Strong"/>
    <w:basedOn w:val="20"/>
    <w:qFormat/>
    <w:locked/>
    <w:uiPriority w:val="99"/>
    <w:rPr>
      <w:rFonts w:cs="Times New Roman"/>
      <w:b/>
      <w:bCs/>
    </w:rPr>
  </w:style>
  <w:style w:type="character" w:styleId="22">
    <w:name w:val="annotation reference"/>
    <w:basedOn w:val="20"/>
    <w:semiHidden/>
    <w:qFormat/>
    <w:locked/>
    <w:uiPriority w:val="99"/>
    <w:rPr>
      <w:rFonts w:cs="Times New Roman"/>
      <w:sz w:val="21"/>
      <w:szCs w:val="21"/>
    </w:rPr>
  </w:style>
  <w:style w:type="character" w:customStyle="1" w:styleId="23">
    <w:name w:val="Heading 1 Char"/>
    <w:basedOn w:val="20"/>
    <w:link w:val="2"/>
    <w:qFormat/>
    <w:locked/>
    <w:uiPriority w:val="99"/>
    <w:rPr>
      <w:rFonts w:ascii="Times New Roman" w:hAnsi="Times New Roman" w:eastAsia="Times New Roman" w:cs="Times New Roman"/>
      <w:b/>
      <w:bCs/>
      <w:kern w:val="44"/>
      <w:sz w:val="44"/>
      <w:szCs w:val="44"/>
    </w:rPr>
  </w:style>
  <w:style w:type="character" w:customStyle="1" w:styleId="24">
    <w:name w:val="Heading 2 Char"/>
    <w:basedOn w:val="20"/>
    <w:link w:val="3"/>
    <w:qFormat/>
    <w:locked/>
    <w:uiPriority w:val="99"/>
    <w:rPr>
      <w:rFonts w:ascii="Calibri Light" w:hAnsi="Calibri Light" w:cs="Times New Roman"/>
      <w:b/>
      <w:bCs/>
      <w:kern w:val="0"/>
      <w:sz w:val="32"/>
      <w:szCs w:val="32"/>
    </w:rPr>
  </w:style>
  <w:style w:type="character" w:customStyle="1" w:styleId="25">
    <w:name w:val="Heading 3 Char"/>
    <w:basedOn w:val="20"/>
    <w:link w:val="4"/>
    <w:qFormat/>
    <w:locked/>
    <w:uiPriority w:val="99"/>
    <w:rPr>
      <w:rFonts w:ascii="Times New Roman" w:hAnsi="Times New Roman" w:cs="Times New Roman"/>
      <w:b/>
      <w:bCs/>
      <w:kern w:val="0"/>
      <w:sz w:val="32"/>
      <w:szCs w:val="32"/>
    </w:rPr>
  </w:style>
  <w:style w:type="character" w:customStyle="1" w:styleId="26">
    <w:name w:val="Heading 4 Char"/>
    <w:basedOn w:val="20"/>
    <w:link w:val="6"/>
    <w:qFormat/>
    <w:locked/>
    <w:uiPriority w:val="99"/>
    <w:rPr>
      <w:rFonts w:ascii="Cambria" w:hAnsi="Cambria" w:cs="Times New Roman"/>
      <w:b/>
      <w:bCs/>
      <w:sz w:val="28"/>
      <w:szCs w:val="28"/>
    </w:rPr>
  </w:style>
  <w:style w:type="character" w:customStyle="1" w:styleId="27">
    <w:name w:val="Comment Text Char"/>
    <w:basedOn w:val="20"/>
    <w:link w:val="11"/>
    <w:semiHidden/>
    <w:qFormat/>
    <w:locked/>
    <w:uiPriority w:val="99"/>
    <w:rPr>
      <w:rFonts w:ascii="Times New Roman" w:hAnsi="Times New Roman" w:eastAsia="Times New Roman" w:cs="Times New Roman"/>
      <w:sz w:val="24"/>
      <w:szCs w:val="24"/>
    </w:rPr>
  </w:style>
  <w:style w:type="character" w:customStyle="1" w:styleId="28">
    <w:name w:val="Body Text Char"/>
    <w:basedOn w:val="20"/>
    <w:link w:val="12"/>
    <w:semiHidden/>
    <w:qFormat/>
    <w:locked/>
    <w:uiPriority w:val="99"/>
    <w:rPr>
      <w:rFonts w:ascii="Times New Roman" w:hAnsi="Times New Roman" w:eastAsia="Times New Roman" w:cs="Times New Roman"/>
      <w:sz w:val="24"/>
      <w:szCs w:val="24"/>
    </w:rPr>
  </w:style>
  <w:style w:type="character" w:customStyle="1" w:styleId="29">
    <w:name w:val="Balloon Text Char"/>
    <w:basedOn w:val="20"/>
    <w:link w:val="13"/>
    <w:semiHidden/>
    <w:qFormat/>
    <w:locked/>
    <w:uiPriority w:val="99"/>
    <w:rPr>
      <w:rFonts w:ascii="Times New Roman" w:hAnsi="Times New Roman" w:eastAsia="Times New Roman" w:cs="Times New Roman"/>
      <w:kern w:val="2"/>
      <w:sz w:val="18"/>
      <w:szCs w:val="18"/>
    </w:rPr>
  </w:style>
  <w:style w:type="character" w:customStyle="1" w:styleId="30">
    <w:name w:val="Footer Char"/>
    <w:basedOn w:val="20"/>
    <w:link w:val="14"/>
    <w:semiHidden/>
    <w:qFormat/>
    <w:locked/>
    <w:uiPriority w:val="99"/>
    <w:rPr>
      <w:rFonts w:ascii="Times New Roman" w:hAnsi="Times New Roman" w:eastAsia="Times New Roman" w:cs="Times New Roman"/>
      <w:sz w:val="18"/>
      <w:szCs w:val="18"/>
    </w:rPr>
  </w:style>
  <w:style w:type="character" w:customStyle="1" w:styleId="31">
    <w:name w:val="Header Char"/>
    <w:basedOn w:val="20"/>
    <w:link w:val="15"/>
    <w:semiHidden/>
    <w:qFormat/>
    <w:locked/>
    <w:uiPriority w:val="99"/>
    <w:rPr>
      <w:rFonts w:ascii="Times New Roman" w:hAnsi="Times New Roman" w:eastAsia="Times New Roman" w:cs="Times New Roman"/>
      <w:sz w:val="18"/>
      <w:szCs w:val="18"/>
    </w:rPr>
  </w:style>
  <w:style w:type="paragraph" w:customStyle="1" w:styleId="32">
    <w:name w:val="Default"/>
    <w:qFormat/>
    <w:uiPriority w:val="99"/>
    <w:pPr>
      <w:widowControl w:val="0"/>
      <w:autoSpaceDE w:val="0"/>
      <w:autoSpaceDN w:val="0"/>
      <w:adjustRightInd w:val="0"/>
    </w:pPr>
    <w:rPr>
      <w:rFonts w:ascii="方正小标宋_GBK" w:hAnsi="方正小标宋_GBK" w:eastAsia="方正小标宋_GBK" w:cs="Times New Roman"/>
      <w:color w:val="000000"/>
      <w:kern w:val="0"/>
      <w:sz w:val="24"/>
      <w:szCs w:val="22"/>
      <w:lang w:val="en-US" w:eastAsia="zh-CN" w:bidi="ar-SA"/>
    </w:rPr>
  </w:style>
  <w:style w:type="paragraph" w:styleId="33">
    <w:name w:val="List Paragraph"/>
    <w:basedOn w:val="1"/>
    <w:qFormat/>
    <w:uiPriority w:val="99"/>
    <w:pPr>
      <w:ind w:firstLine="420"/>
    </w:pPr>
    <w:rPr>
      <w:sz w:val="21"/>
      <w:szCs w:val="22"/>
    </w:rPr>
  </w:style>
  <w:style w:type="paragraph" w:customStyle="1" w:styleId="34">
    <w:name w:val="2.正文"/>
    <w:basedOn w:val="1"/>
    <w:link w:val="35"/>
    <w:qFormat/>
    <w:uiPriority w:val="99"/>
    <w:pPr>
      <w:widowControl/>
      <w:ind w:firstLine="420"/>
    </w:pPr>
    <w:rPr>
      <w:rFonts w:ascii="??_GB2312" w:hAnsi="等线" w:eastAsia="Times New Roman"/>
      <w:kern w:val="0"/>
      <w:sz w:val="21"/>
      <w:szCs w:val="20"/>
      <w:lang w:val="zh-CN"/>
    </w:rPr>
  </w:style>
  <w:style w:type="character" w:customStyle="1" w:styleId="35">
    <w:name w:val="2.正文 Char"/>
    <w:link w:val="34"/>
    <w:qFormat/>
    <w:locked/>
    <w:uiPriority w:val="99"/>
    <w:rPr>
      <w:rFonts w:ascii="??_GB2312" w:hAnsi="等线" w:eastAsia="Times New Roman"/>
      <w:sz w:val="21"/>
      <w:lang w:val="zh-CN"/>
    </w:rPr>
  </w:style>
  <w:style w:type="character" w:customStyle="1" w:styleId="36">
    <w:name w:val="Caption Char"/>
    <w:link w:val="10"/>
    <w:qFormat/>
    <w:locked/>
    <w:uiPriority w:val="99"/>
    <w:rPr>
      <w:rFonts w:ascii="Arial" w:hAnsi="Arial" w:eastAsia="黑体"/>
      <w:sz w:val="20"/>
    </w:rPr>
  </w:style>
  <w:style w:type="paragraph" w:customStyle="1" w:styleId="37">
    <w:name w:val="表格文字"/>
    <w:basedOn w:val="1"/>
    <w:next w:val="1"/>
    <w:link w:val="38"/>
    <w:qFormat/>
    <w:uiPriority w:val="99"/>
    <w:pPr>
      <w:jc w:val="center"/>
    </w:pPr>
    <w:rPr>
      <w:kern w:val="0"/>
      <w:sz w:val="20"/>
      <w:szCs w:val="20"/>
    </w:rPr>
  </w:style>
  <w:style w:type="character" w:customStyle="1" w:styleId="38">
    <w:name w:val="表格文字 Char"/>
    <w:link w:val="37"/>
    <w:qFormat/>
    <w:locked/>
    <w:uiPriority w:val="99"/>
    <w:rPr>
      <w:rFonts w:ascii="Times New Roman" w:hAnsi="Times New Roman" w:eastAsia="Times New Roman"/>
    </w:rPr>
  </w:style>
  <w:style w:type="paragraph" w:customStyle="1" w:styleId="39">
    <w:name w:val="项目-正文"/>
    <w:basedOn w:val="1"/>
    <w:link w:val="40"/>
    <w:qFormat/>
    <w:uiPriority w:val="99"/>
    <w:pPr>
      <w:ind w:firstLine="200"/>
    </w:pPr>
    <w:rPr>
      <w:kern w:val="0"/>
      <w:sz w:val="28"/>
      <w:szCs w:val="20"/>
    </w:rPr>
  </w:style>
  <w:style w:type="character" w:customStyle="1" w:styleId="40">
    <w:name w:val="项目-正文 Char"/>
    <w:link w:val="39"/>
    <w:qFormat/>
    <w:locked/>
    <w:uiPriority w:val="99"/>
    <w:rPr>
      <w:rFonts w:ascii="Times New Roman" w:hAnsi="Times New Roman" w:eastAsia="Times New Roman"/>
      <w:kern w:val="0"/>
      <w:sz w:val="28"/>
    </w:rPr>
  </w:style>
  <w:style w:type="paragraph" w:customStyle="1" w:styleId="41">
    <w:name w:val="null3"/>
    <w:hidden/>
    <w:qFormat/>
    <w:uiPriority w:val="99"/>
    <w:rPr>
      <w:rFonts w:ascii="Calibri" w:hAnsi="Calibri" w:eastAsia="宋体" w:cs="Times New Roman"/>
      <w:kern w:val="0"/>
      <w:sz w:val="20"/>
      <w:szCs w:val="20"/>
      <w:lang w:val="en-US" w:eastAsia="zh-CN" w:bidi="ar-SA"/>
    </w:rPr>
  </w:style>
  <w:style w:type="character" w:customStyle="1" w:styleId="42">
    <w:name w:val="Comment Subject Char"/>
    <w:basedOn w:val="27"/>
    <w:link w:val="17"/>
    <w:semiHidden/>
    <w:qFormat/>
    <w:uiPriority w:val="99"/>
    <w:rPr>
      <w:b/>
      <w:bCs/>
      <w:sz w:val="32"/>
    </w:rPr>
  </w:style>
  <w:style w:type="paragraph" w:customStyle="1" w:styleId="43">
    <w:name w:val="文章正文"/>
    <w:qFormat/>
    <w:uiPriority w:val="99"/>
    <w:pPr>
      <w:spacing w:line="360" w:lineRule="auto"/>
      <w:ind w:firstLine="200" w:firstLineChars="200"/>
      <w:jc w:val="both"/>
    </w:pPr>
    <w:rPr>
      <w:rFonts w:ascii="Times New Roman" w:hAnsi="Times New Roman" w:eastAsia="宋体" w:cs="Times New Roman"/>
      <w:kern w:val="0"/>
      <w:sz w:val="24"/>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Lenovo</Company>
  <Pages>30</Pages>
  <Words>514</Words>
  <Characters>558</Characters>
  <Lines>0</Lines>
  <Paragraphs>0</Paragraphs>
  <TotalTime>0</TotalTime>
  <ScaleCrop>false</ScaleCrop>
  <LinksUpToDate>false</LinksUpToDate>
  <CharactersWithSpaces>595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2024-04-30T05:37:00Z</dcterms:created>
  <dc:creator>Administrator</dc:creator>
  <cp:lastModifiedBy>HiWin10</cp:lastModifiedBy>
  <dcterms:modified xsi:type="dcterms:W3CDTF">2025-05-12T07:29:09Z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53605681B167400C828DEE9FCC1B1FD2_13</vt:lpwstr>
  </property>
  <property fmtid="{D5CDD505-2E9C-101B-9397-08002B2CF9AE}" pid="4" name="KSOTemplateDocerSaveRecord">
    <vt:lpwstr>eyJoZGlkIjoiODZjZjA2N2Y3NWJmNzk4YTBjN2MxMTE0YWEyZWE2MDkiLCJ1c2VySWQiOiI3MDIzMzI3NzUifQ==</vt:lpwstr>
  </property>
</Properties>
</file>