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jc w:val="center"/>
        <w:rPr>
          <w:rFonts w:ascii="方正小标宋简体" w:hAnsi="Calibri" w:eastAsia="方正小标宋简体" w:cs="Times New Roman"/>
          <w:sz w:val="44"/>
          <w:szCs w:val="44"/>
        </w:rPr>
      </w:pPr>
      <w:bookmarkStart w:id="0" w:name="_GoBack"/>
      <w:bookmarkEnd w:id="0"/>
      <w:r>
        <w:rPr>
          <w:rFonts w:hint="eastAsia" w:ascii="方正小标宋简体" w:hAnsi="Calibri" w:eastAsia="方正小标宋简体" w:cs="Times New Roman"/>
          <w:sz w:val="44"/>
          <w:szCs w:val="44"/>
        </w:rPr>
        <w:t>福建省福州市气象局</w:t>
      </w:r>
    </w:p>
    <w:p>
      <w:pPr>
        <w:spacing w:line="760" w:lineRule="exact"/>
        <w:jc w:val="center"/>
        <w:rPr>
          <w:rFonts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2023年政府信息公开工作年度报告</w:t>
      </w:r>
    </w:p>
    <w:p>
      <w:pPr>
        <w:spacing w:line="380" w:lineRule="exact"/>
        <w:jc w:val="center"/>
        <w:rPr>
          <w:rFonts w:ascii="方正小标宋简体" w:hAnsi="Calibri" w:eastAsia="方正小标宋简体" w:cs="Times New Roman"/>
          <w:sz w:val="44"/>
          <w:szCs w:val="44"/>
        </w:rPr>
      </w:pPr>
    </w:p>
    <w:p>
      <w:pPr>
        <w:pStyle w:val="6"/>
        <w:spacing w:before="0" w:beforeAutospacing="0" w:after="0" w:afterAutospacing="0" w:line="560" w:lineRule="exact"/>
        <w:ind w:firstLine="640" w:firstLineChars="200"/>
        <w:rPr>
          <w:rStyle w:val="7"/>
          <w:rFonts w:ascii="仿宋_GB2312" w:eastAsia="仿宋_GB2312"/>
          <w:sz w:val="32"/>
          <w:szCs w:val="32"/>
        </w:rPr>
      </w:pPr>
      <w:r>
        <w:rPr>
          <w:rStyle w:val="7"/>
          <w:rFonts w:hint="eastAsia" w:ascii="仿宋_GB2312" w:hAnsi="宋体" w:eastAsia="仿宋_GB2312"/>
          <w:sz w:val="32"/>
          <w:szCs w:val="32"/>
        </w:rPr>
        <w:t>本年报是根据《中华人民共和国政府信息公开条例》和《气象部门政府信息公开办法》等相关规定，由福州市气象局编制的信息公开年度报告。本报告内容包括：总体情况，主动公开政府信息情况，政府信息依申请公开办理情况，政府信息公开的收费及减免情况，因政府信息公开申请行政复议、提起行政诉讼情况，工作存在的主要问题及改进措施等6个方面。</w:t>
      </w:r>
    </w:p>
    <w:p>
      <w:pPr>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一、总体情况</w:t>
      </w:r>
    </w:p>
    <w:p>
      <w:pPr>
        <w:spacing w:line="560" w:lineRule="exact"/>
        <w:ind w:firstLine="640" w:firstLineChars="200"/>
        <w:rPr>
          <w:rFonts w:ascii="楷体_GB2312" w:hAnsi="宋体" w:eastAsia="楷体_GB2312" w:cs="Times New Roman"/>
          <w:sz w:val="32"/>
          <w:szCs w:val="32"/>
        </w:rPr>
      </w:pPr>
      <w:r>
        <w:rPr>
          <w:rFonts w:hint="eastAsia" w:ascii="楷体_GB2312" w:hAnsi="宋体" w:eastAsia="楷体_GB2312" w:cs="Times New Roman"/>
          <w:sz w:val="32"/>
          <w:szCs w:val="32"/>
        </w:rPr>
        <w:t>（一）单位概况</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2023年，福州市气象局负责辖区内气象法规建设、气象行业管理、气象防灾减灾、气象业务管理、防御雷电管理、气象科技攻关与成果推广、气象宣传教育、天气预报及气候预测、气象服务、地面气象观测、气象卫星应用、农业气象观测与试验等工作。</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福州市气象局位于福州市仓山区建新中路98号，办公时间冬令时为8:30-12:00，14:30-18:00；夏令时为8:30-12:00，15:00-18:00。联系方式：0591-83661019，单位法人陈春宝。</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福州市气象局内设机构有办公室（计财处）、业务科技处、人事教育处、政策法规处、纪检办，下设市气象台、气象信息网络与装备保障中心、气象服务中心、气象灾害防御技术中心、农业气象试验站、预警信息发布中心以及气象局财务核算中心。</w:t>
      </w:r>
    </w:p>
    <w:p>
      <w:pPr>
        <w:spacing w:line="560" w:lineRule="exact"/>
        <w:ind w:firstLine="640" w:firstLineChars="200"/>
        <w:rPr>
          <w:rFonts w:ascii="楷体_GB2312" w:hAnsi="Calibri" w:eastAsia="楷体_GB2312" w:cs="Times New Roman"/>
          <w:sz w:val="32"/>
          <w:szCs w:val="32"/>
        </w:rPr>
      </w:pPr>
      <w:r>
        <w:rPr>
          <w:rFonts w:hint="eastAsia" w:ascii="楷体_GB2312" w:hAnsi="Calibri" w:eastAsia="楷体_GB2312" w:cs="Times New Roman"/>
          <w:sz w:val="32"/>
          <w:szCs w:val="32"/>
        </w:rPr>
        <w:t>（二）业务工作开展情况</w:t>
      </w:r>
    </w:p>
    <w:p>
      <w:pPr>
        <w:spacing w:line="560" w:lineRule="exact"/>
        <w:ind w:firstLine="640" w:firstLineChars="200"/>
        <w:rPr>
          <w:rFonts w:ascii="仿宋_GB2312" w:eastAsia="仿宋_GB2312"/>
          <w:sz w:val="32"/>
          <w:szCs w:val="32"/>
        </w:rPr>
      </w:pPr>
      <w:r>
        <w:rPr>
          <w:rFonts w:hint="eastAsia" w:ascii="仿宋_GB2312" w:hAnsi="Calibri" w:eastAsia="仿宋_GB2312" w:cs="Times New Roman"/>
          <w:sz w:val="32"/>
          <w:szCs w:val="32"/>
        </w:rPr>
        <w:t>1.全力做好气象防灾减灾服务，筑牢第一道防线。全年以来启动16次应急响应，有效应对7次冷空气、14次强对流、8次大范围暴雨和7个台风影响，发布决策服务材料588份，气象预警信号303次。成功防御“杜苏芮”“海葵”台风、举办海青节活动、保障中华龙舟赛和助力空气质量提升等工作获得市政府表彰肯定5次。落实1262防灾减灾工作机制和递进式气象保障服务，制定《福州市气象局强天气预警服务叫应制度》报市政府及相关部门备案，提高决策服务和部门联动效益。</w:t>
      </w:r>
      <w:r>
        <w:rPr>
          <w:rFonts w:hint="eastAsia" w:ascii="仿宋_GB2312" w:eastAsia="仿宋_GB2312"/>
          <w:sz w:val="32"/>
          <w:szCs w:val="32"/>
        </w:rPr>
        <w:t>深化两岸气象融合发展，举办第十一届海峡青年节</w:t>
      </w:r>
      <w:r>
        <w:rPr>
          <w:rFonts w:hint="eastAsia" w:ascii="宋体" w:hAnsi="宋体" w:eastAsia="宋体" w:cs="宋体"/>
          <w:sz w:val="32"/>
          <w:szCs w:val="32"/>
        </w:rPr>
        <w:t>•</w:t>
      </w:r>
      <w:r>
        <w:rPr>
          <w:rFonts w:hint="eastAsia" w:ascii="仿宋_GB2312" w:hAnsi="仿宋_GB2312" w:eastAsia="仿宋_GB2312" w:cs="仿宋_GB2312"/>
          <w:sz w:val="32"/>
          <w:szCs w:val="32"/>
        </w:rPr>
        <w:t>海峡气象青年汇活动，将福文化和气象文化相融合，直播收看量12.4万次，点赞量达38万次。</w:t>
      </w:r>
      <w:r>
        <w:rPr>
          <w:rFonts w:hint="eastAsia" w:ascii="仿宋_GB2312" w:eastAsia="仿宋_GB2312"/>
          <w:sz w:val="32"/>
          <w:szCs w:val="32"/>
        </w:rPr>
        <w:t>拓展福州城市气象会客厅品牌——全国首个气象主题科普游船“福气号”亮相福州,鼓岭气象公园正式对外开放。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全方位推进现代化气象服务体系建设。完成6套农田小气候站、4套梯度风、2套海产养殖站建设及85个区域站的升级调试工作。深化“气象精灵”应用端升级及全省推广应用，个性化县级“端”投入试用。市级互联网服务集约到省气象服务中心统一出口，升级完善地铁、两马航线气象服务场景，助力两岸“小三通”复航。开发农业气象服务和海洋气象服务模块，建设福清花蛤、闽侯橄榄、连江“闽投一号”等气象服务示范点。探索气象信息嵌入交通指挥、地铁运管、消防实现路径，稳步推进“气象+”向“+气象”的转变。全省首个数字气象虚拟馆参展第六届数字中国建设峰会。联合发布气象景观预报，依托“四时福建”、遇见福州等平台深化“气象+文旅”气象服务。推进数据服务向省级集约，拓展专业气象服务领域。</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3.持续深化改革和扩大开放，优化气象治理体系。制定《市局财务报销管理办法》，修订《市局财务工作手册》，完成防雷中心注销工作。持续提升气象网上政务服务能力，办理时限平均缩短时限占比位居全省气象部门前列。继续推进试点园区区域气候可行性和区域雷电灾害风险评估，强化气象探测环境保护事前审查。开展石化、燃气等重点行业领域防雷安全隐患专项治理。动态调整全市防雷安全重点单位监管库602家，全市执法检查353家（覆盖率58.64%）,跨部门联合检查35次，发现一般问题隐患62处（督促整改62处）。常态化升放气球安全巡查446次，制止违法行为10次。强化“互联网+监管”，上传各类监督检查数据314条。</w:t>
      </w:r>
    </w:p>
    <w:p>
      <w:pPr>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二、行政机关主动公开政府信息情况</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根据《中华人民共和国政府信息公开条例》第二十条规定的法定主动公开内容如下，具体内容详见附表1。</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（一）规范性文件数量</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福州市气象局共印发规范性文件0份。</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（二）办理行政许可和其他对外管理服务事项的依据、条件、程序以及办理结果在福建省网上办事大厅上（zwfw.fujian.gov.cn）公示，同时福州气象门户网站同步链接公示信息。</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（三）实施行政处罚、行政强制的依据、条件、程序以及本行政机关认为具有一定社会影响的行政处罚决定在信用福州（credit.fuzhou.gov.cn）上公示,同时在单位门户网站上公示。</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（四）财政预算、决算信息按照财政相关要求在福州市政府门户网站“中国福州”公示（www.fuzhou.gov.cn）。</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（五）关于行政事业性收费项目，福州市气象局无任何行政事业收费项目。</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（六）关于政府集中采购项目、标准及实施情况在福州政府采购网上公示。</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其他法定主动公开内容的公开情况，在“总体情况”部分综合体现。</w:t>
      </w:r>
    </w:p>
    <w:p>
      <w:pPr>
        <w:widowControl/>
        <w:shd w:val="clear" w:color="auto" w:fill="FFFFFF"/>
        <w:spacing w:after="240" w:line="560" w:lineRule="exact"/>
        <w:jc w:val="center"/>
        <w:rPr>
          <w:rFonts w:ascii="宋体" w:hAnsi="宋体" w:eastAsia="仿宋_GB2312" w:cs="宋体"/>
          <w:b/>
          <w:bCs/>
          <w:kern w:val="0"/>
          <w:sz w:val="32"/>
          <w:szCs w:val="32"/>
        </w:rPr>
      </w:pPr>
      <w:r>
        <w:rPr>
          <w:rFonts w:hint="eastAsia" w:ascii="宋体" w:hAnsi="宋体" w:eastAsia="仿宋_GB2312" w:cs="宋体"/>
          <w:b/>
          <w:bCs/>
          <w:kern w:val="0"/>
          <w:sz w:val="32"/>
          <w:szCs w:val="32"/>
        </w:rPr>
        <w:t>政府信息公开工作年度报告主动公开政府信息情况（附表</w:t>
      </w:r>
      <w:r>
        <w:rPr>
          <w:rFonts w:hint="eastAsia" w:ascii="仿宋_GB2312" w:hAnsi="宋体" w:eastAsia="仿宋_GB2312" w:cs="宋体"/>
          <w:b/>
          <w:bCs/>
          <w:kern w:val="0"/>
          <w:sz w:val="32"/>
          <w:szCs w:val="32"/>
        </w:rPr>
        <w:t>1</w:t>
      </w:r>
      <w:r>
        <w:rPr>
          <w:rFonts w:hint="eastAsia" w:ascii="宋体" w:hAnsi="宋体" w:eastAsia="仿宋_GB2312" w:cs="宋体"/>
          <w:b/>
          <w:bCs/>
          <w:kern w:val="0"/>
          <w:sz w:val="32"/>
          <w:szCs w:val="32"/>
        </w:rPr>
        <w:t>）</w:t>
      </w:r>
    </w:p>
    <w:tbl>
      <w:tblPr>
        <w:tblStyle w:val="4"/>
        <w:tblW w:w="8140" w:type="dxa"/>
        <w:jc w:val="center"/>
        <w:tblLayout w:type="autofit"/>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第二十条第（一）项</w:t>
            </w:r>
          </w:p>
        </w:tc>
      </w:tr>
      <w:tr>
        <w:tblPrEx>
          <w:tblCellMar>
            <w:top w:w="0" w:type="dxa"/>
            <w:left w:w="0" w:type="dxa"/>
            <w:bottom w:w="0" w:type="dxa"/>
            <w:right w:w="0" w:type="dxa"/>
          </w:tblCellMar>
        </w:tblPrEx>
        <w:trPr>
          <w:trHeight w:val="81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本年新</w:t>
            </w:r>
            <w:r>
              <w:rPr>
                <w:rFonts w:hint="eastAsia" w:ascii="宋体" w:hAnsi="宋体" w:eastAsia="仿宋_GB2312" w:cs="宋体"/>
                <w:kern w:val="0"/>
                <w:sz w:val="20"/>
                <w:szCs w:val="20"/>
              </w:rPr>
              <w:br w:type="textWrapping"/>
            </w:r>
            <w:r>
              <w:rPr>
                <w:rFonts w:hint="eastAsia" w:ascii="宋体" w:hAnsi="宋体" w:eastAsia="仿宋_GB2312"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本年新</w:t>
            </w:r>
            <w:r>
              <w:rPr>
                <w:rFonts w:hint="eastAsia" w:ascii="宋体" w:hAnsi="宋体" w:eastAsia="仿宋_GB2312" w:cs="宋体"/>
                <w:kern w:val="0"/>
                <w:sz w:val="20"/>
                <w:szCs w:val="20"/>
              </w:rPr>
              <w:br w:type="textWrapping"/>
            </w:r>
            <w:r>
              <w:rPr>
                <w:rFonts w:hint="eastAsia" w:ascii="宋体" w:hAnsi="宋体" w:eastAsia="仿宋_GB2312" w:cs="宋体"/>
                <w:kern w:val="0"/>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对外公开总数量</w:t>
            </w:r>
          </w:p>
        </w:tc>
      </w:tr>
      <w:tr>
        <w:tblPrEx>
          <w:tblCellMar>
            <w:top w:w="0" w:type="dxa"/>
            <w:left w:w="0" w:type="dxa"/>
            <w:bottom w:w="0" w:type="dxa"/>
            <w:right w:w="0" w:type="dxa"/>
          </w:tblCellMar>
        </w:tblPrEx>
        <w:trPr>
          <w:trHeight w:val="48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r>
      <w:tr>
        <w:tblPrEx>
          <w:tblCellMar>
            <w:top w:w="0" w:type="dxa"/>
            <w:left w:w="0" w:type="dxa"/>
            <w:bottom w:w="0" w:type="dxa"/>
            <w:right w:w="0" w:type="dxa"/>
          </w:tblCellMar>
        </w:tblPrEx>
        <w:trPr>
          <w:trHeight w:val="40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5</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增2</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88</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single" w:color="auto" w:sz="4"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本年增/减</w:t>
            </w:r>
          </w:p>
        </w:tc>
        <w:tc>
          <w:tcPr>
            <w:tcW w:w="1881" w:type="dxa"/>
            <w:tcBorders>
              <w:top w:val="single" w:color="auto" w:sz="4" w:space="0"/>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增1</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1</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采购总金额（万元）</w:t>
            </w:r>
          </w:p>
        </w:tc>
      </w:tr>
      <w:tr>
        <w:tblPrEx>
          <w:tblCellMar>
            <w:top w:w="0" w:type="dxa"/>
            <w:left w:w="0" w:type="dxa"/>
            <w:bottom w:w="0" w:type="dxa"/>
            <w:right w:w="0" w:type="dxa"/>
          </w:tblCellMar>
        </w:tblPrEx>
        <w:trPr>
          <w:trHeight w:val="40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4"/>
                <w:szCs w:val="20"/>
              </w:rPr>
              <w:t>9</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4"/>
                <w:szCs w:val="20"/>
              </w:rPr>
              <w:t>164.2126</w:t>
            </w:r>
          </w:p>
        </w:tc>
      </w:tr>
    </w:tbl>
    <w:p>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三、行政机关收到和处理政府信息公开申请情况</w:t>
      </w:r>
    </w:p>
    <w:p>
      <w:pPr>
        <w:widowControl/>
        <w:shd w:val="clear" w:color="auto" w:fill="FFFFFF"/>
        <w:spacing w:after="240" w:line="560" w:lineRule="exact"/>
        <w:jc w:val="center"/>
        <w:rPr>
          <w:rFonts w:ascii="宋体" w:hAnsi="宋体" w:eastAsia="仿宋_GB2312" w:cs="宋体"/>
          <w:kern w:val="0"/>
          <w:sz w:val="32"/>
          <w:szCs w:val="32"/>
        </w:rPr>
      </w:pPr>
      <w:r>
        <w:rPr>
          <w:rFonts w:hint="eastAsia" w:ascii="宋体" w:hAnsi="宋体" w:eastAsia="仿宋_GB2312" w:cs="宋体"/>
          <w:b/>
          <w:bCs/>
          <w:kern w:val="0"/>
          <w:sz w:val="32"/>
          <w:szCs w:val="32"/>
        </w:rPr>
        <w:t>收到和处理政府信息公开申请情况（附表</w:t>
      </w:r>
      <w:r>
        <w:rPr>
          <w:rFonts w:hint="eastAsia" w:ascii="仿宋_GB2312" w:hAnsi="宋体" w:eastAsia="仿宋_GB2312" w:cs="宋体"/>
          <w:b/>
          <w:bCs/>
          <w:kern w:val="0"/>
          <w:sz w:val="32"/>
          <w:szCs w:val="32"/>
        </w:rPr>
        <w:t>2</w:t>
      </w:r>
      <w:r>
        <w:rPr>
          <w:rFonts w:hint="eastAsia" w:ascii="宋体" w:hAnsi="宋体" w:eastAsia="仿宋_GB2312" w:cs="宋体"/>
          <w:b/>
          <w:bCs/>
          <w:kern w:val="0"/>
          <w:sz w:val="32"/>
          <w:szCs w:val="32"/>
        </w:rPr>
        <w:t>）</w:t>
      </w:r>
    </w:p>
    <w:tbl>
      <w:tblPr>
        <w:tblStyle w:val="4"/>
        <w:tblW w:w="9071" w:type="dxa"/>
        <w:jc w:val="center"/>
        <w:tblLayout w:type="autofit"/>
        <w:tblCellMar>
          <w:top w:w="0" w:type="dxa"/>
          <w:left w:w="0" w:type="dxa"/>
          <w:bottom w:w="0" w:type="dxa"/>
          <w:right w:w="0" w:type="dxa"/>
        </w:tblCellMar>
      </w:tblPr>
      <w:tblGrid>
        <w:gridCol w:w="616"/>
        <w:gridCol w:w="816"/>
        <w:gridCol w:w="2607"/>
        <w:gridCol w:w="738"/>
        <w:gridCol w:w="696"/>
        <w:gridCol w:w="691"/>
        <w:gridCol w:w="738"/>
        <w:gridCol w:w="867"/>
        <w:gridCol w:w="654"/>
        <w:gridCol w:w="648"/>
      </w:tblGrid>
      <w:tr>
        <w:tblPrEx>
          <w:tblCellMar>
            <w:top w:w="0" w:type="dxa"/>
            <w:left w:w="0" w:type="dxa"/>
            <w:bottom w:w="0" w:type="dxa"/>
            <w:right w:w="0" w:type="dxa"/>
          </w:tblCellMar>
        </w:tblPrEx>
        <w:trPr>
          <w:jc w:val="center"/>
        </w:trPr>
        <w:tc>
          <w:tcPr>
            <w:tcW w:w="3945"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（本列数据的勾稽关系为：第一项加第二项之和，等于第三项加第四项之和）</w:t>
            </w:r>
          </w:p>
        </w:tc>
        <w:tc>
          <w:tcPr>
            <w:tcW w:w="5126"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75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自然人</w:t>
            </w:r>
          </w:p>
        </w:tc>
        <w:tc>
          <w:tcPr>
            <w:tcW w:w="3716"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法人或其他组织</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商业企业</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科研机构</w:t>
            </w:r>
          </w:p>
        </w:tc>
        <w:tc>
          <w:tcPr>
            <w:tcW w:w="75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社会公益组织</w:t>
            </w:r>
          </w:p>
        </w:tc>
        <w:tc>
          <w:tcPr>
            <w:tcW w:w="88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法律服务机构</w:t>
            </w:r>
          </w:p>
        </w:tc>
        <w:tc>
          <w:tcPr>
            <w:tcW w:w="66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w:t>
            </w:r>
          </w:p>
        </w:tc>
        <w:tc>
          <w:tcPr>
            <w:tcW w:w="0" w:type="auto"/>
            <w:vMerge w:val="continue"/>
            <w:tcBorders>
              <w:top w:val="single" w:color="auto" w:sz="8" w:space="0"/>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r>
      <w:tr>
        <w:tblPrEx>
          <w:tblCellMar>
            <w:top w:w="0" w:type="dxa"/>
            <w:left w:w="0" w:type="dxa"/>
            <w:bottom w:w="0" w:type="dxa"/>
            <w:right w:w="0" w:type="dxa"/>
          </w:tblCellMar>
        </w:tblPrEx>
        <w:trPr>
          <w:jc w:val="center"/>
        </w:trPr>
        <w:tc>
          <w:tcPr>
            <w:tcW w:w="3945"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一、本年新收政府信息公开申请数量</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3945"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二、上年结转政府信息公开申请数量</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r>
      <w:tr>
        <w:tblPrEx>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三、本年度办理结果</w:t>
            </w:r>
          </w:p>
        </w:tc>
        <w:tc>
          <w:tcPr>
            <w:tcW w:w="332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（一）予以公开</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332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（二）部分公开（区分处理的，只计这一情形，不计其他情形）</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63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（三）不予公开</w:t>
            </w: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1.属于国家秘密</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2.其他法律行政法规禁止公开</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3.危及“三安全一稳定”</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4.保护第三方合法权益</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5.属于三类内部事务信息</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6.属于四类过程性信息</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7.属于行政执法案卷</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8.属于行政查询事项</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63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（四）无法提供</w:t>
            </w: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1.本机关不掌握相关政府信息</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2.没有现成信息需要另行制作</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3.补正后申请内容仍不明确</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63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（五）不予处理</w:t>
            </w: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1.信访举报投诉类申请</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2.重复申请</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3.要求提供公开出版物</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4.无正当理由大量反复申请</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5.要求行政机关确认或重新出具已获取信息</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332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（六）其他处理</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332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（七）总计</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r>
      <w:tr>
        <w:trPr>
          <w:jc w:val="center"/>
        </w:trPr>
        <w:tc>
          <w:tcPr>
            <w:tcW w:w="3945"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四、结转下年度继续办理</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4"/>
                <w:szCs w:val="20"/>
              </w:rPr>
              <w:t>0</w:t>
            </w:r>
          </w:p>
        </w:tc>
      </w:tr>
    </w:tbl>
    <w:p>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四、因政府信息公开工作被申请行政复议、提起行政诉讼情况</w:t>
      </w:r>
    </w:p>
    <w:p>
      <w:pPr>
        <w:widowControl/>
        <w:shd w:val="clear" w:color="auto" w:fill="FFFFFF"/>
        <w:spacing w:after="240" w:line="560" w:lineRule="exact"/>
        <w:jc w:val="center"/>
        <w:rPr>
          <w:rFonts w:ascii="宋体" w:hAnsi="宋体" w:eastAsia="仿宋_GB2312" w:cs="宋体"/>
          <w:kern w:val="0"/>
          <w:sz w:val="32"/>
          <w:szCs w:val="32"/>
        </w:rPr>
      </w:pPr>
      <w:r>
        <w:rPr>
          <w:rFonts w:hint="eastAsia" w:ascii="宋体" w:hAnsi="宋体" w:eastAsia="仿宋_GB2312" w:cs="宋体"/>
          <w:b/>
          <w:bCs/>
          <w:kern w:val="0"/>
          <w:sz w:val="32"/>
          <w:szCs w:val="32"/>
        </w:rPr>
        <w:t>政府信息公开行政复议、行政诉讼情况（附表</w:t>
      </w:r>
      <w:r>
        <w:rPr>
          <w:rFonts w:hint="eastAsia" w:ascii="仿宋_GB2312" w:hAnsi="宋体" w:eastAsia="仿宋_GB2312" w:cs="宋体"/>
          <w:b/>
          <w:bCs/>
          <w:kern w:val="0"/>
          <w:sz w:val="32"/>
          <w:szCs w:val="32"/>
        </w:rPr>
        <w:t>3</w:t>
      </w:r>
      <w:r>
        <w:rPr>
          <w:rFonts w:hint="eastAsia" w:ascii="宋体" w:hAnsi="宋体" w:eastAsia="仿宋_GB2312" w:cs="宋体"/>
          <w:b/>
          <w:bCs/>
          <w:kern w:val="0"/>
          <w:sz w:val="32"/>
          <w:szCs w:val="32"/>
        </w:rPr>
        <w:t>）</w:t>
      </w:r>
    </w:p>
    <w:tbl>
      <w:tblPr>
        <w:tblStyle w:val="4"/>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single" w:color="auto" w:sz="8" w:space="0"/>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single" w:color="auto" w:sz="8" w:space="0"/>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0" w:type="auto"/>
            <w:vMerge w:val="continue"/>
            <w:tcBorders>
              <w:top w:val="single" w:color="auto" w:sz="8" w:space="0"/>
              <w:left w:val="nil"/>
              <w:bottom w:val="single" w:color="auto" w:sz="8" w:space="0"/>
              <w:right w:val="single" w:color="auto" w:sz="8" w:space="0"/>
            </w:tcBorders>
            <w:vAlign w:val="center"/>
          </w:tcPr>
          <w:p>
            <w:pPr>
              <w:widowControl/>
              <w:spacing w:line="560" w:lineRule="exact"/>
              <w:jc w:val="left"/>
              <w:rPr>
                <w:rFonts w:ascii="宋体" w:hAnsi="宋体" w:eastAsia="仿宋_GB2312" w:cs="宋体"/>
                <w:kern w:val="0"/>
                <w:sz w:val="24"/>
                <w:szCs w:val="20"/>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 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4"/>
                <w:szCs w:val="20"/>
              </w:rPr>
              <w:t>0</w:t>
            </w:r>
          </w:p>
        </w:tc>
      </w:tr>
    </w:tbl>
    <w:p>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五、政府信息公开工作存在的主要问题及改进情况</w:t>
      </w:r>
    </w:p>
    <w:p>
      <w:pPr>
        <w:widowControl/>
        <w:shd w:val="clear" w:color="auto" w:fill="FFFFFF"/>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无。</w:t>
      </w:r>
    </w:p>
    <w:p>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六、其他需要报告的事项</w:t>
      </w:r>
    </w:p>
    <w:p>
      <w:pPr>
        <w:widowControl/>
        <w:shd w:val="clear" w:color="auto" w:fill="FFFFFF"/>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无。</w:t>
      </w:r>
      <w:r>
        <w:rPr>
          <w:rFonts w:ascii="仿宋_GB2312" w:hAnsi="Times New Roman" w:eastAsia="仿宋_GB2312" w:cs="Times New Roman"/>
          <w:sz w:val="32"/>
          <w:szCs w:val="32"/>
        </w:rPr>
        <mc:AlternateContent>
          <mc:Choice Requires="wps">
            <w:drawing>
              <wp:anchor distT="0" distB="0" distL="114300" distR="114300" simplePos="0" relativeHeight="251659264" behindDoc="0" locked="0" layoutInCell="1" allowOverlap="1">
                <wp:simplePos x="0" y="0"/>
                <wp:positionH relativeFrom="margin">
                  <wp:posOffset>100330</wp:posOffset>
                </wp:positionH>
                <wp:positionV relativeFrom="page">
                  <wp:posOffset>9180830</wp:posOffset>
                </wp:positionV>
                <wp:extent cx="5718810" cy="332105"/>
                <wp:effectExtent l="0" t="0" r="0" b="0"/>
                <wp:wrapTopAndBottom/>
                <wp:docPr id="2" name="Text Box 11"/>
                <wp:cNvGraphicFramePr/>
                <a:graphic xmlns:a="http://schemas.openxmlformats.org/drawingml/2006/main">
                  <a:graphicData uri="http://schemas.microsoft.com/office/word/2010/wordprocessingShape">
                    <wps:wsp>
                      <wps:cNvSpPr txBox="true">
                        <a:spLocks noChangeArrowheads="true"/>
                      </wps:cNvSpPr>
                      <wps:spPr bwMode="auto">
                        <a:xfrm>
                          <a:off x="0" y="0"/>
                          <a:ext cx="5718810" cy="332105"/>
                        </a:xfrm>
                        <a:prstGeom prst="rect">
                          <a:avLst/>
                        </a:prstGeom>
                        <a:noFill/>
                        <a:ln>
                          <a:noFill/>
                        </a:ln>
                        <a:effectLst/>
                      </wps:spPr>
                      <wps:txbx>
                        <w:txbxContent>
                          <w:p>
                            <w:pPr>
                              <w:snapToGrid w:val="0"/>
                              <w:spacing w:line="440" w:lineRule="exact"/>
                              <w:ind w:left="842" w:leftChars="1" w:hanging="840" w:hangingChars="300"/>
                              <w:rPr>
                                <w:rFonts w:ascii="仿宋_GB2312"/>
                                <w:sz w:val="28"/>
                                <w:szCs w:val="28"/>
                              </w:rPr>
                            </w:pPr>
                          </w:p>
                        </w:txbxContent>
                      </wps:txbx>
                      <wps:bodyPr rot="0" vert="horz" wrap="square" lIns="0" tIns="0" rIns="0" bIns="0" anchor="t" anchorCtr="false" upright="true">
                        <a:noAutofit/>
                      </wps:bodyPr>
                    </wps:wsp>
                  </a:graphicData>
                </a:graphic>
              </wp:anchor>
            </w:drawing>
          </mc:Choice>
          <mc:Fallback>
            <w:pict>
              <v:shape id="Text Box 11" o:spid="_x0000_s1026" o:spt="202" type="#_x0000_t202" style="position:absolute;left:0pt;margin-left:7.9pt;margin-top:722.9pt;height:26.15pt;width:450.3pt;mso-position-horizontal-relative:margin;mso-position-vertical-relative:page;mso-wrap-distance-bottom:0pt;mso-wrap-distance-top:0pt;z-index:251659264;mso-width-relative:page;mso-height-relative:page;" filled="f" stroked="f" coordsize="21600,21600" o:gfxdata="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&#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HFRA/rZAAAADAEAAA8AAAAAAAAAAQAgAAAAOAAAAGRy&#10;cy9kb3ducmV2LnhtbFBLAQIUABQAAAAIAIdO4kCjmB3f7gEAANIDAAAOAAAAAAAAAAEAIAAAAD4B&#10;AABkcnMvZTJvRG9jLnhtbFBLBQYAAAAABgAGAFkBAACeBQAAAAA=&#10;">
                <v:fill on="f" focussize="0,0"/>
                <v:stroke on="f"/>
                <v:imagedata o:title=""/>
                <o:lock v:ext="edit" aspectratio="f"/>
                <v:textbox inset="0mm,0mm,0mm,0mm">
                  <w:txbxContent>
                    <w:p>
                      <w:pPr>
                        <w:snapToGrid w:val="0"/>
                        <w:spacing w:line="440" w:lineRule="exact"/>
                        <w:ind w:left="842" w:leftChars="1" w:hanging="840" w:hangingChars="300"/>
                        <w:rPr>
                          <w:rFonts w:ascii="仿宋_GB2312"/>
                          <w:sz w:val="28"/>
                          <w:szCs w:val="28"/>
                        </w:rPr>
                      </w:pPr>
                    </w:p>
                  </w:txbxContent>
                </v:textbox>
                <w10:wrap type="topAndBottom"/>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3OTEwMmVkNGRjMjczNjI2MWI0NjY1ZDY2ZjM0ZmQifQ=="/>
  </w:docVars>
  <w:rsids>
    <w:rsidRoot w:val="00F949EB"/>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2C08"/>
    <w:rsid w:val="00043B4C"/>
    <w:rsid w:val="00051ECA"/>
    <w:rsid w:val="00052E63"/>
    <w:rsid w:val="000548C6"/>
    <w:rsid w:val="00054E5C"/>
    <w:rsid w:val="00056BF4"/>
    <w:rsid w:val="00057F38"/>
    <w:rsid w:val="00057FE0"/>
    <w:rsid w:val="000612CD"/>
    <w:rsid w:val="000622C1"/>
    <w:rsid w:val="00062358"/>
    <w:rsid w:val="00065B50"/>
    <w:rsid w:val="00067C45"/>
    <w:rsid w:val="00070E80"/>
    <w:rsid w:val="000737AA"/>
    <w:rsid w:val="00073841"/>
    <w:rsid w:val="000739FE"/>
    <w:rsid w:val="00073FD1"/>
    <w:rsid w:val="00080D81"/>
    <w:rsid w:val="000823B0"/>
    <w:rsid w:val="000828CB"/>
    <w:rsid w:val="00083B26"/>
    <w:rsid w:val="00083B85"/>
    <w:rsid w:val="00084611"/>
    <w:rsid w:val="00090F20"/>
    <w:rsid w:val="00092230"/>
    <w:rsid w:val="0009664D"/>
    <w:rsid w:val="0009747E"/>
    <w:rsid w:val="00097920"/>
    <w:rsid w:val="000A1BAD"/>
    <w:rsid w:val="000A1BF8"/>
    <w:rsid w:val="000A2B7F"/>
    <w:rsid w:val="000A37AA"/>
    <w:rsid w:val="000A40A6"/>
    <w:rsid w:val="000A43EA"/>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1002CD"/>
    <w:rsid w:val="0010281D"/>
    <w:rsid w:val="00104671"/>
    <w:rsid w:val="00105A25"/>
    <w:rsid w:val="001070DD"/>
    <w:rsid w:val="00110466"/>
    <w:rsid w:val="00113D96"/>
    <w:rsid w:val="0011508B"/>
    <w:rsid w:val="001162C1"/>
    <w:rsid w:val="00116AE0"/>
    <w:rsid w:val="00117C06"/>
    <w:rsid w:val="00124E07"/>
    <w:rsid w:val="001315C9"/>
    <w:rsid w:val="00131A9C"/>
    <w:rsid w:val="00134327"/>
    <w:rsid w:val="001351BD"/>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1993"/>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A65"/>
    <w:rsid w:val="001A4B32"/>
    <w:rsid w:val="001A4C3E"/>
    <w:rsid w:val="001A7C8F"/>
    <w:rsid w:val="001B0B1A"/>
    <w:rsid w:val="001B3DE5"/>
    <w:rsid w:val="001B5848"/>
    <w:rsid w:val="001B5E4C"/>
    <w:rsid w:val="001B64CB"/>
    <w:rsid w:val="001C10D1"/>
    <w:rsid w:val="001C1F0B"/>
    <w:rsid w:val="001C5239"/>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3611"/>
    <w:rsid w:val="00224E9E"/>
    <w:rsid w:val="002271E5"/>
    <w:rsid w:val="00227237"/>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859E7"/>
    <w:rsid w:val="00291780"/>
    <w:rsid w:val="002934C5"/>
    <w:rsid w:val="002A15D5"/>
    <w:rsid w:val="002A382B"/>
    <w:rsid w:val="002A60D9"/>
    <w:rsid w:val="002A6805"/>
    <w:rsid w:val="002B055B"/>
    <w:rsid w:val="002B1CE1"/>
    <w:rsid w:val="002B6F97"/>
    <w:rsid w:val="002C0B24"/>
    <w:rsid w:val="002C51A0"/>
    <w:rsid w:val="002C60D1"/>
    <w:rsid w:val="002D1A97"/>
    <w:rsid w:val="002D3B58"/>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1E2E"/>
    <w:rsid w:val="003A3562"/>
    <w:rsid w:val="003A453A"/>
    <w:rsid w:val="003A5A63"/>
    <w:rsid w:val="003A7DA4"/>
    <w:rsid w:val="003B0B2E"/>
    <w:rsid w:val="003B1679"/>
    <w:rsid w:val="003B292D"/>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00E5"/>
    <w:rsid w:val="00474275"/>
    <w:rsid w:val="004744A7"/>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A3916"/>
    <w:rsid w:val="004B746B"/>
    <w:rsid w:val="004B791B"/>
    <w:rsid w:val="004C23E5"/>
    <w:rsid w:val="004C496E"/>
    <w:rsid w:val="004C6DC8"/>
    <w:rsid w:val="004C7889"/>
    <w:rsid w:val="004C78DF"/>
    <w:rsid w:val="004D00AB"/>
    <w:rsid w:val="004D0BC0"/>
    <w:rsid w:val="004D2638"/>
    <w:rsid w:val="004D3118"/>
    <w:rsid w:val="004D4409"/>
    <w:rsid w:val="004D580D"/>
    <w:rsid w:val="004E204D"/>
    <w:rsid w:val="004E21F2"/>
    <w:rsid w:val="004E47B4"/>
    <w:rsid w:val="004E7A35"/>
    <w:rsid w:val="004F0700"/>
    <w:rsid w:val="004F10E2"/>
    <w:rsid w:val="004F2C2D"/>
    <w:rsid w:val="004F3F29"/>
    <w:rsid w:val="00510850"/>
    <w:rsid w:val="00510D9E"/>
    <w:rsid w:val="0051141A"/>
    <w:rsid w:val="00512304"/>
    <w:rsid w:val="00512A9D"/>
    <w:rsid w:val="00514901"/>
    <w:rsid w:val="00515A9C"/>
    <w:rsid w:val="00515E56"/>
    <w:rsid w:val="005223FE"/>
    <w:rsid w:val="00524538"/>
    <w:rsid w:val="00526C32"/>
    <w:rsid w:val="00530E32"/>
    <w:rsid w:val="00534768"/>
    <w:rsid w:val="005447BE"/>
    <w:rsid w:val="00544BAE"/>
    <w:rsid w:val="005505BC"/>
    <w:rsid w:val="00550695"/>
    <w:rsid w:val="00550CC4"/>
    <w:rsid w:val="00557B64"/>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D2223"/>
    <w:rsid w:val="005D3D5B"/>
    <w:rsid w:val="005D4593"/>
    <w:rsid w:val="005D48DB"/>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2E0B"/>
    <w:rsid w:val="0065254D"/>
    <w:rsid w:val="00652A91"/>
    <w:rsid w:val="00654B9F"/>
    <w:rsid w:val="00656522"/>
    <w:rsid w:val="006610FA"/>
    <w:rsid w:val="006616C2"/>
    <w:rsid w:val="006633C4"/>
    <w:rsid w:val="00665A3F"/>
    <w:rsid w:val="00665BEF"/>
    <w:rsid w:val="00665D66"/>
    <w:rsid w:val="00667E88"/>
    <w:rsid w:val="00671665"/>
    <w:rsid w:val="006755AE"/>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31F5"/>
    <w:rsid w:val="00743B6C"/>
    <w:rsid w:val="00743BD8"/>
    <w:rsid w:val="00745709"/>
    <w:rsid w:val="00745F2F"/>
    <w:rsid w:val="0074645C"/>
    <w:rsid w:val="007507AC"/>
    <w:rsid w:val="00750A00"/>
    <w:rsid w:val="00750B84"/>
    <w:rsid w:val="0075118F"/>
    <w:rsid w:val="007516CA"/>
    <w:rsid w:val="0075208E"/>
    <w:rsid w:val="007573D7"/>
    <w:rsid w:val="00760F25"/>
    <w:rsid w:val="0077020C"/>
    <w:rsid w:val="00775E1A"/>
    <w:rsid w:val="007768AF"/>
    <w:rsid w:val="00776E52"/>
    <w:rsid w:val="0078232F"/>
    <w:rsid w:val="00783620"/>
    <w:rsid w:val="00784205"/>
    <w:rsid w:val="0078506F"/>
    <w:rsid w:val="00791801"/>
    <w:rsid w:val="00793E4F"/>
    <w:rsid w:val="007A0E00"/>
    <w:rsid w:val="007A75D6"/>
    <w:rsid w:val="007B5FCF"/>
    <w:rsid w:val="007B6A8C"/>
    <w:rsid w:val="007C0139"/>
    <w:rsid w:val="007C1351"/>
    <w:rsid w:val="007C1CA4"/>
    <w:rsid w:val="007C2415"/>
    <w:rsid w:val="007C33ED"/>
    <w:rsid w:val="007D24CD"/>
    <w:rsid w:val="007D3D91"/>
    <w:rsid w:val="007E1CDD"/>
    <w:rsid w:val="007E32ED"/>
    <w:rsid w:val="007E37EA"/>
    <w:rsid w:val="007E535B"/>
    <w:rsid w:val="007E7211"/>
    <w:rsid w:val="007F1853"/>
    <w:rsid w:val="007F40C4"/>
    <w:rsid w:val="007F5B8F"/>
    <w:rsid w:val="007F64ED"/>
    <w:rsid w:val="00804667"/>
    <w:rsid w:val="00805940"/>
    <w:rsid w:val="00807673"/>
    <w:rsid w:val="00821A3F"/>
    <w:rsid w:val="00823A06"/>
    <w:rsid w:val="008257B5"/>
    <w:rsid w:val="00825ACE"/>
    <w:rsid w:val="008346B3"/>
    <w:rsid w:val="00835A2D"/>
    <w:rsid w:val="00842D4C"/>
    <w:rsid w:val="008431DA"/>
    <w:rsid w:val="0084402D"/>
    <w:rsid w:val="00851E32"/>
    <w:rsid w:val="00851EF2"/>
    <w:rsid w:val="00854448"/>
    <w:rsid w:val="00855DEE"/>
    <w:rsid w:val="0085691D"/>
    <w:rsid w:val="00860542"/>
    <w:rsid w:val="008635A6"/>
    <w:rsid w:val="00863ED1"/>
    <w:rsid w:val="00864612"/>
    <w:rsid w:val="00866B42"/>
    <w:rsid w:val="008710D4"/>
    <w:rsid w:val="00873491"/>
    <w:rsid w:val="0087659B"/>
    <w:rsid w:val="00877EAB"/>
    <w:rsid w:val="00886191"/>
    <w:rsid w:val="00890524"/>
    <w:rsid w:val="008917A4"/>
    <w:rsid w:val="00892EEC"/>
    <w:rsid w:val="008932D9"/>
    <w:rsid w:val="008A0CEB"/>
    <w:rsid w:val="008A1533"/>
    <w:rsid w:val="008A330B"/>
    <w:rsid w:val="008A40EB"/>
    <w:rsid w:val="008A5246"/>
    <w:rsid w:val="008B17B4"/>
    <w:rsid w:val="008B2ACF"/>
    <w:rsid w:val="008B7C2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2764"/>
    <w:rsid w:val="008F3334"/>
    <w:rsid w:val="008F7F99"/>
    <w:rsid w:val="009038BE"/>
    <w:rsid w:val="00904E69"/>
    <w:rsid w:val="00910804"/>
    <w:rsid w:val="00911CA4"/>
    <w:rsid w:val="009124EB"/>
    <w:rsid w:val="00917DBC"/>
    <w:rsid w:val="00920FD8"/>
    <w:rsid w:val="00922813"/>
    <w:rsid w:val="00922B05"/>
    <w:rsid w:val="00923EB5"/>
    <w:rsid w:val="00924DAB"/>
    <w:rsid w:val="009264A4"/>
    <w:rsid w:val="009328EC"/>
    <w:rsid w:val="00933029"/>
    <w:rsid w:val="0093382E"/>
    <w:rsid w:val="00933DC1"/>
    <w:rsid w:val="00936D99"/>
    <w:rsid w:val="00945AA0"/>
    <w:rsid w:val="00953908"/>
    <w:rsid w:val="00955074"/>
    <w:rsid w:val="00955526"/>
    <w:rsid w:val="00956110"/>
    <w:rsid w:val="00957668"/>
    <w:rsid w:val="00957CCE"/>
    <w:rsid w:val="00962F9A"/>
    <w:rsid w:val="00963F94"/>
    <w:rsid w:val="00963FA8"/>
    <w:rsid w:val="009650B0"/>
    <w:rsid w:val="00970983"/>
    <w:rsid w:val="00970B4C"/>
    <w:rsid w:val="00970E5E"/>
    <w:rsid w:val="00972845"/>
    <w:rsid w:val="0097324A"/>
    <w:rsid w:val="009733BE"/>
    <w:rsid w:val="00975F7A"/>
    <w:rsid w:val="00981668"/>
    <w:rsid w:val="00985CE6"/>
    <w:rsid w:val="00991DFB"/>
    <w:rsid w:val="00991E35"/>
    <w:rsid w:val="009921F1"/>
    <w:rsid w:val="00993BFD"/>
    <w:rsid w:val="00994B32"/>
    <w:rsid w:val="00995FFB"/>
    <w:rsid w:val="00997354"/>
    <w:rsid w:val="009A026F"/>
    <w:rsid w:val="009A0C9C"/>
    <w:rsid w:val="009A1662"/>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D6CA9"/>
    <w:rsid w:val="009D7B45"/>
    <w:rsid w:val="009E1985"/>
    <w:rsid w:val="009F0356"/>
    <w:rsid w:val="009F15EC"/>
    <w:rsid w:val="009F2874"/>
    <w:rsid w:val="009F5B30"/>
    <w:rsid w:val="009F769C"/>
    <w:rsid w:val="00A06E06"/>
    <w:rsid w:val="00A11C9F"/>
    <w:rsid w:val="00A1230D"/>
    <w:rsid w:val="00A14ED9"/>
    <w:rsid w:val="00A168F4"/>
    <w:rsid w:val="00A16E53"/>
    <w:rsid w:val="00A22D1B"/>
    <w:rsid w:val="00A26703"/>
    <w:rsid w:val="00A329C3"/>
    <w:rsid w:val="00A34667"/>
    <w:rsid w:val="00A35DEE"/>
    <w:rsid w:val="00A37B9A"/>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6B29"/>
    <w:rsid w:val="00AA0068"/>
    <w:rsid w:val="00AA018E"/>
    <w:rsid w:val="00AA5467"/>
    <w:rsid w:val="00AB62FC"/>
    <w:rsid w:val="00AB6D2F"/>
    <w:rsid w:val="00AC119F"/>
    <w:rsid w:val="00AC13C4"/>
    <w:rsid w:val="00AC3823"/>
    <w:rsid w:val="00AC43F4"/>
    <w:rsid w:val="00AD0632"/>
    <w:rsid w:val="00AD1109"/>
    <w:rsid w:val="00AD5D8D"/>
    <w:rsid w:val="00AD71EE"/>
    <w:rsid w:val="00AE1AE5"/>
    <w:rsid w:val="00AE1CDC"/>
    <w:rsid w:val="00AE5660"/>
    <w:rsid w:val="00AE6224"/>
    <w:rsid w:val="00AF0D6E"/>
    <w:rsid w:val="00AF2228"/>
    <w:rsid w:val="00AF324D"/>
    <w:rsid w:val="00AF3724"/>
    <w:rsid w:val="00AF58E7"/>
    <w:rsid w:val="00AF632D"/>
    <w:rsid w:val="00AF6D36"/>
    <w:rsid w:val="00AF7F41"/>
    <w:rsid w:val="00B006C3"/>
    <w:rsid w:val="00B00BCE"/>
    <w:rsid w:val="00B04B4C"/>
    <w:rsid w:val="00B07AD8"/>
    <w:rsid w:val="00B123E6"/>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070"/>
    <w:rsid w:val="00B474D3"/>
    <w:rsid w:val="00B50247"/>
    <w:rsid w:val="00B539C6"/>
    <w:rsid w:val="00B54C84"/>
    <w:rsid w:val="00B566D0"/>
    <w:rsid w:val="00B57063"/>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41F6"/>
    <w:rsid w:val="00BD1576"/>
    <w:rsid w:val="00BE2031"/>
    <w:rsid w:val="00BE719D"/>
    <w:rsid w:val="00BE7C82"/>
    <w:rsid w:val="00BF2557"/>
    <w:rsid w:val="00BF3B01"/>
    <w:rsid w:val="00BF4CFA"/>
    <w:rsid w:val="00BF76BA"/>
    <w:rsid w:val="00C00628"/>
    <w:rsid w:val="00C01E38"/>
    <w:rsid w:val="00C03E77"/>
    <w:rsid w:val="00C10F26"/>
    <w:rsid w:val="00C11963"/>
    <w:rsid w:val="00C122AD"/>
    <w:rsid w:val="00C1383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5145"/>
    <w:rsid w:val="00CB5B77"/>
    <w:rsid w:val="00CB610B"/>
    <w:rsid w:val="00CB6248"/>
    <w:rsid w:val="00CC1CE6"/>
    <w:rsid w:val="00CC295A"/>
    <w:rsid w:val="00CC37C5"/>
    <w:rsid w:val="00CC4A61"/>
    <w:rsid w:val="00CC4FFF"/>
    <w:rsid w:val="00CC5AD3"/>
    <w:rsid w:val="00CD07D5"/>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0F37"/>
    <w:rsid w:val="00D02014"/>
    <w:rsid w:val="00D0302B"/>
    <w:rsid w:val="00D038E2"/>
    <w:rsid w:val="00D05C62"/>
    <w:rsid w:val="00D05E18"/>
    <w:rsid w:val="00D06319"/>
    <w:rsid w:val="00D07E2E"/>
    <w:rsid w:val="00D10E40"/>
    <w:rsid w:val="00D119E5"/>
    <w:rsid w:val="00D146C7"/>
    <w:rsid w:val="00D14873"/>
    <w:rsid w:val="00D1544B"/>
    <w:rsid w:val="00D17E3F"/>
    <w:rsid w:val="00D22042"/>
    <w:rsid w:val="00D24191"/>
    <w:rsid w:val="00D24DD2"/>
    <w:rsid w:val="00D2606C"/>
    <w:rsid w:val="00D322A1"/>
    <w:rsid w:val="00D335E2"/>
    <w:rsid w:val="00D361BE"/>
    <w:rsid w:val="00D40BF0"/>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65ED3"/>
    <w:rsid w:val="00D66865"/>
    <w:rsid w:val="00D71409"/>
    <w:rsid w:val="00D75C81"/>
    <w:rsid w:val="00D77743"/>
    <w:rsid w:val="00D80A21"/>
    <w:rsid w:val="00D83491"/>
    <w:rsid w:val="00D83E05"/>
    <w:rsid w:val="00D84A40"/>
    <w:rsid w:val="00D8628D"/>
    <w:rsid w:val="00D91EE2"/>
    <w:rsid w:val="00D9569C"/>
    <w:rsid w:val="00D96B39"/>
    <w:rsid w:val="00D9761F"/>
    <w:rsid w:val="00DA3A50"/>
    <w:rsid w:val="00DA5216"/>
    <w:rsid w:val="00DA73FD"/>
    <w:rsid w:val="00DA7702"/>
    <w:rsid w:val="00DB675E"/>
    <w:rsid w:val="00DB6EFE"/>
    <w:rsid w:val="00DC375A"/>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4F2F"/>
    <w:rsid w:val="00E013FE"/>
    <w:rsid w:val="00E025B3"/>
    <w:rsid w:val="00E03CA5"/>
    <w:rsid w:val="00E04DB0"/>
    <w:rsid w:val="00E056BB"/>
    <w:rsid w:val="00E05AA1"/>
    <w:rsid w:val="00E120FB"/>
    <w:rsid w:val="00E134C0"/>
    <w:rsid w:val="00E14365"/>
    <w:rsid w:val="00E14397"/>
    <w:rsid w:val="00E2606E"/>
    <w:rsid w:val="00E2690A"/>
    <w:rsid w:val="00E41D0A"/>
    <w:rsid w:val="00E41F86"/>
    <w:rsid w:val="00E4353C"/>
    <w:rsid w:val="00E45050"/>
    <w:rsid w:val="00E451B8"/>
    <w:rsid w:val="00E502B2"/>
    <w:rsid w:val="00E51455"/>
    <w:rsid w:val="00E51D52"/>
    <w:rsid w:val="00E52219"/>
    <w:rsid w:val="00E542E2"/>
    <w:rsid w:val="00E55158"/>
    <w:rsid w:val="00E56290"/>
    <w:rsid w:val="00E63DC0"/>
    <w:rsid w:val="00E6583B"/>
    <w:rsid w:val="00E6590C"/>
    <w:rsid w:val="00E66114"/>
    <w:rsid w:val="00E6695C"/>
    <w:rsid w:val="00E6794A"/>
    <w:rsid w:val="00E67AD4"/>
    <w:rsid w:val="00E67F7A"/>
    <w:rsid w:val="00E709AA"/>
    <w:rsid w:val="00E73632"/>
    <w:rsid w:val="00E77CB1"/>
    <w:rsid w:val="00E854E1"/>
    <w:rsid w:val="00E85527"/>
    <w:rsid w:val="00E912B4"/>
    <w:rsid w:val="00E91B70"/>
    <w:rsid w:val="00E940C8"/>
    <w:rsid w:val="00E9583B"/>
    <w:rsid w:val="00E975FE"/>
    <w:rsid w:val="00EA0397"/>
    <w:rsid w:val="00EA3E6F"/>
    <w:rsid w:val="00EA6219"/>
    <w:rsid w:val="00EA7CFF"/>
    <w:rsid w:val="00EA7D11"/>
    <w:rsid w:val="00EB1289"/>
    <w:rsid w:val="00EB1CC6"/>
    <w:rsid w:val="00EB2214"/>
    <w:rsid w:val="00EC05C2"/>
    <w:rsid w:val="00EC1090"/>
    <w:rsid w:val="00EC1515"/>
    <w:rsid w:val="00EC5929"/>
    <w:rsid w:val="00EC7875"/>
    <w:rsid w:val="00ED3662"/>
    <w:rsid w:val="00ED688A"/>
    <w:rsid w:val="00ED7A1D"/>
    <w:rsid w:val="00EE3CD5"/>
    <w:rsid w:val="00EE4BBF"/>
    <w:rsid w:val="00EE604A"/>
    <w:rsid w:val="00EF20A1"/>
    <w:rsid w:val="00EF6986"/>
    <w:rsid w:val="00EF7535"/>
    <w:rsid w:val="00F013C7"/>
    <w:rsid w:val="00F0246E"/>
    <w:rsid w:val="00F02DF3"/>
    <w:rsid w:val="00F061C8"/>
    <w:rsid w:val="00F0638C"/>
    <w:rsid w:val="00F10138"/>
    <w:rsid w:val="00F110CE"/>
    <w:rsid w:val="00F11E41"/>
    <w:rsid w:val="00F160C6"/>
    <w:rsid w:val="00F20BE8"/>
    <w:rsid w:val="00F20BF8"/>
    <w:rsid w:val="00F23848"/>
    <w:rsid w:val="00F24788"/>
    <w:rsid w:val="00F2662C"/>
    <w:rsid w:val="00F3039C"/>
    <w:rsid w:val="00F30628"/>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1D51"/>
    <w:rsid w:val="00F7215C"/>
    <w:rsid w:val="00F725AF"/>
    <w:rsid w:val="00F72ACF"/>
    <w:rsid w:val="00F73738"/>
    <w:rsid w:val="00F73836"/>
    <w:rsid w:val="00F73A0B"/>
    <w:rsid w:val="00F73BB7"/>
    <w:rsid w:val="00F75C4D"/>
    <w:rsid w:val="00F824AC"/>
    <w:rsid w:val="00F826B8"/>
    <w:rsid w:val="00F83311"/>
    <w:rsid w:val="00F868E7"/>
    <w:rsid w:val="00F86F16"/>
    <w:rsid w:val="00F91B85"/>
    <w:rsid w:val="00F920BD"/>
    <w:rsid w:val="00F924FF"/>
    <w:rsid w:val="00F949EB"/>
    <w:rsid w:val="00F958FE"/>
    <w:rsid w:val="00F967B8"/>
    <w:rsid w:val="00F969DE"/>
    <w:rsid w:val="00FA2724"/>
    <w:rsid w:val="00FA4A98"/>
    <w:rsid w:val="00FB1E57"/>
    <w:rsid w:val="00FB26F9"/>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 w:val="27BB2108"/>
    <w:rsid w:val="68AA126F"/>
    <w:rsid w:val="879FCB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HtmlNormal"/>
    <w:basedOn w:val="1"/>
    <w:qFormat/>
    <w:uiPriority w:val="0"/>
    <w:pPr>
      <w:widowControl/>
      <w:spacing w:before="100" w:beforeAutospacing="1" w:after="100" w:afterAutospacing="1"/>
      <w:jc w:val="left"/>
    </w:pPr>
    <w:rPr>
      <w:rFonts w:ascii="Calibri" w:hAnsi="Calibri" w:eastAsia="宋体" w:cs="Times New Roman"/>
      <w:kern w:val="0"/>
      <w:sz w:val="24"/>
      <w:szCs w:val="24"/>
    </w:rPr>
  </w:style>
  <w:style w:type="character" w:customStyle="1" w:styleId="7">
    <w:name w:val="NormalCharacter"/>
    <w:semiHidden/>
    <w:qFormat/>
    <w:uiPriority w:val="0"/>
  </w:style>
  <w:style w:type="character" w:customStyle="1" w:styleId="8">
    <w:name w:val="页眉 Char"/>
    <w:basedOn w:val="5"/>
    <w:link w:val="3"/>
    <w:qFormat/>
    <w:uiPriority w:val="99"/>
    <w:rPr>
      <w:sz w:val="18"/>
      <w:szCs w:val="18"/>
    </w:rPr>
  </w:style>
  <w:style w:type="character" w:customStyle="1" w:styleId="9">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523</Words>
  <Characters>2985</Characters>
  <Lines>24</Lines>
  <Paragraphs>7</Paragraphs>
  <TotalTime>3</TotalTime>
  <ScaleCrop>false</ScaleCrop>
  <LinksUpToDate>false</LinksUpToDate>
  <CharactersWithSpaces>3501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2024-01-09T19:24:00Z</dcterms:created>
  <dc:creator>王晓佳</dc:creator>
  <cp:lastModifiedBy>王法健:拟稿人</cp:lastModifiedBy>
  <cp:lastPrinted>2024-01-12T09:58:00Z</cp:lastPrinted>
  <dcterms:modified xsi:type="dcterms:W3CDTF">2024-03-19T09:22:13Z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B3508F73510D3DDE6C939F652635AE3D</vt:lpwstr>
  </property>
</Properties>
</file>