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hint="default" w:ascii="方正小标宋简体" w:hAnsi="宋体" w:eastAsia="方正小标宋简体"/>
          <w:sz w:val="44"/>
          <w:szCs w:val="44"/>
          <w:lang w:val="en-US"/>
        </w:rPr>
      </w:pPr>
      <w:r>
        <w:rPr>
          <w:rFonts w:hint="default" w:ascii="方正小标宋简体" w:hAnsi="宋体" w:eastAsia="方正小标宋简体"/>
          <w:sz w:val="44"/>
          <w:szCs w:val="44"/>
          <w:lang w:val="en-US"/>
        </w:rPr>
        <w:t>福建省气象局关于开展2025年雷电防护</w:t>
      </w:r>
    </w:p>
    <w:p>
      <w:pPr>
        <w:snapToGrid w:val="0"/>
        <w:spacing w:line="700" w:lineRule="exact"/>
        <w:jc w:val="center"/>
        <w:rPr>
          <w:rFonts w:hint="default" w:ascii="方正小标宋简体" w:hAnsi="宋体" w:eastAsia="方正小标宋简体"/>
          <w:sz w:val="44"/>
          <w:szCs w:val="44"/>
          <w:lang w:val="en-US"/>
        </w:rPr>
      </w:pPr>
      <w:r>
        <w:rPr>
          <w:rFonts w:hint="default" w:ascii="方正小标宋简体" w:hAnsi="宋体" w:eastAsia="方正小标宋简体"/>
          <w:sz w:val="44"/>
          <w:szCs w:val="44"/>
          <w:lang w:val="en-US"/>
        </w:rPr>
        <w:t>装置检测质量考核工作的通知</w:t>
      </w:r>
    </w:p>
    <w:p>
      <w:pPr>
        <w:overflowPunct w:val="0"/>
        <w:autoSpaceDE w:val="0"/>
        <w:autoSpaceDN w:val="0"/>
        <w:spacing w:line="560" w:lineRule="exact"/>
        <w:ind w:firstLine="0" w:firstLineChars="0"/>
        <w:rPr>
          <w:rFonts w:hint="eastAsia" w:ascii="仿宋_GB2312" w:hAnsi="宋体" w:cs="Times New Roman"/>
          <w:spacing w:val="-6"/>
        </w:rPr>
      </w:pPr>
    </w:p>
    <w:p>
      <w:pPr>
        <w:overflowPunct w:val="0"/>
        <w:autoSpaceDE w:val="0"/>
        <w:autoSpaceDN w:val="0"/>
        <w:spacing w:line="560" w:lineRule="exact"/>
        <w:ind w:firstLine="0" w:firstLineChars="0"/>
        <w:rPr>
          <w:rFonts w:hint="eastAsia" w:ascii="仿宋_GB2312" w:hAnsi="宋体" w:cs="Times New Roman"/>
          <w:spacing w:val="-6"/>
        </w:rPr>
      </w:pPr>
      <w:r>
        <w:rPr>
          <w:rFonts w:hint="default" w:ascii="仿宋_GB2312" w:hAnsi="宋体"/>
          <w:spacing w:val="-6"/>
          <w:lang w:val="en-US"/>
        </w:rPr>
        <w:t>各有关雷电防护装置检测资质单位</w:t>
      </w:r>
      <w:bookmarkStart w:id="1" w:name="_GoBack"/>
      <w:bookmarkEnd w:id="1"/>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切实提高雷电防护装置检测质量，促进雷电防护装置检测资质单位（以下简称检测资质单位）提升服务水平，根据《雷电防护装置检测资质管理办法》《福建省雷电防护装置检测质量考核实施细则》等规定，福建省气象局</w:t>
      </w:r>
      <w:r>
        <w:rPr>
          <w:rFonts w:hint="eastAsia" w:ascii="仿宋_GB2312" w:hAnsi="仿宋_GB2312" w:eastAsia="仿宋_GB2312" w:cs="仿宋_GB2312"/>
          <w:sz w:val="32"/>
          <w:szCs w:val="32"/>
          <w:lang w:eastAsia="zh-CN"/>
        </w:rPr>
        <w:t>决定</w:t>
      </w:r>
      <w:r>
        <w:rPr>
          <w:rFonts w:hint="eastAsia" w:ascii="仿宋_GB2312" w:hAnsi="仿宋_GB2312" w:eastAsia="仿宋_GB2312" w:cs="仿宋_GB2312"/>
          <w:sz w:val="32"/>
          <w:szCs w:val="32"/>
        </w:rPr>
        <w:t>组织开展202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年雷电防护装置检测质量考核工作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现将有关事项通知如下：</w:t>
      </w:r>
    </w:p>
    <w:p>
      <w:pPr>
        <w:overflowPunct w:val="0"/>
        <w:autoSpaceDE w:val="0"/>
        <w:autoSpaceDN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一、考核对象</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w:t>
      </w:r>
      <w:r>
        <w:rPr>
          <w:rFonts w:hint="eastAsia" w:ascii="仿宋_GB2312" w:hAnsi="仿宋_GB2312" w:eastAsia="仿宋_GB2312" w:cs="仿宋_GB2312"/>
          <w:sz w:val="32"/>
          <w:szCs w:val="32"/>
          <w:lang w:eastAsia="zh-CN"/>
        </w:rPr>
        <w:t>年度</w:t>
      </w:r>
      <w:r>
        <w:rPr>
          <w:rFonts w:hint="eastAsia" w:ascii="仿宋_GB2312" w:hAnsi="仿宋_GB2312" w:eastAsia="仿宋_GB2312" w:cs="仿宋_GB2312"/>
          <w:sz w:val="32"/>
          <w:szCs w:val="32"/>
        </w:rPr>
        <w:t>在福建省行政区域内开展雷电防护装置检测活动的部分检测资质单位（具体名单详见附件）。</w:t>
      </w:r>
    </w:p>
    <w:p>
      <w:pPr>
        <w:overflowPunct w:val="0"/>
        <w:autoSpaceDE w:val="0"/>
        <w:autoSpaceDN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二、考核时间</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月至12月。</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各考核对象的具体考核时间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以考核组电话通知为准。</w:t>
      </w:r>
    </w:p>
    <w:p>
      <w:pPr>
        <w:overflowPunct w:val="0"/>
        <w:autoSpaceDE w:val="0"/>
        <w:autoSpaceDN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三、考核方式</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本次质量考核分为项目考核和综合考核。</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（一）</w:t>
      </w:r>
      <w:r>
        <w:rPr>
          <w:rFonts w:hint="eastAsia" w:ascii="仿宋_GB2312" w:hAnsi="仿宋_GB2312" w:eastAsia="仿宋_GB2312" w:cs="仿宋_GB2312"/>
          <w:sz w:val="32"/>
          <w:szCs w:val="32"/>
        </w:rPr>
        <w:t>项目考核分为资料检查和项目验证。考核组对考核对象2024年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在福建省行政区域内完成的雷电防护装置检测项目进行抽检，考核项目数量按照考核对象2024年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已出具检测报告项目总数的2%抽取，不少于1个，不超过10个。资料检查</w:t>
      </w:r>
      <w:r>
        <w:rPr>
          <w:rFonts w:hint="eastAsia" w:ascii="仿宋_GB2312" w:hAnsi="仿宋_GB2312" w:eastAsia="仿宋_GB2312" w:cs="仿宋_GB2312"/>
          <w:sz w:val="32"/>
          <w:szCs w:val="32"/>
          <w:lang w:eastAsia="zh-CN"/>
        </w:rPr>
        <w:t>范围为</w:t>
      </w:r>
      <w:r>
        <w:rPr>
          <w:rFonts w:hint="eastAsia" w:ascii="仿宋_GB2312" w:hAnsi="仿宋_GB2312" w:eastAsia="仿宋_GB2312" w:cs="仿宋_GB2312"/>
          <w:sz w:val="32"/>
          <w:szCs w:val="32"/>
        </w:rPr>
        <w:t>所有抽检项目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项目验证至少考核1个抽检项目，对检测项目进行全部或者部分要素的现场复测。</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（二）</w:t>
      </w:r>
      <w:r>
        <w:rPr>
          <w:rFonts w:hint="eastAsia" w:ascii="仿宋_GB2312" w:hAnsi="仿宋_GB2312" w:eastAsia="仿宋_GB2312" w:cs="仿宋_GB2312"/>
          <w:sz w:val="32"/>
          <w:szCs w:val="32"/>
        </w:rPr>
        <w:t>综合考核是对考核对象的组织机构、安全生产、质量管理、专业技术人员、仪器设备、档案、信用记录进行资料检查和现场核查。</w:t>
      </w:r>
    </w:p>
    <w:p>
      <w:pPr>
        <w:overflowPunct w:val="0"/>
        <w:autoSpaceDE w:val="0"/>
        <w:autoSpaceDN w:val="0"/>
        <w:spacing w:line="56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四、考核内容</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管理体系、安全生产和档案制度等是否健全并有效运行；检测专业技术人员是否符合要求；检测专用仪器设备是否经检定或者校准，并在有效期内；检测方法、设备使用和检测数据是否符合相关要求或者规定；检测报告对雷电防护装置及其相关建（构）筑物真实情况的反映程度；检测报告所载检测项目的完整性；检测所依据标准的适用性；项目验证检测数据与原始检测数据的一致性；检测报告与原始记录的一致性；检测报告综合结论的正确性和改进建议的合理性；考核过程中发现的其他应当检查、核实的内容。</w:t>
      </w:r>
    </w:p>
    <w:p>
      <w:pPr>
        <w:overflowPunct w:val="0"/>
        <w:autoSpaceDE w:val="0"/>
        <w:autoSpaceDN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、有关要求</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（一）</w:t>
      </w:r>
      <w:r>
        <w:rPr>
          <w:rFonts w:hint="eastAsia" w:ascii="仿宋_GB2312" w:hAnsi="仿宋_GB2312" w:eastAsia="仿宋_GB2312" w:cs="仿宋_GB2312"/>
          <w:sz w:val="32"/>
          <w:szCs w:val="32"/>
        </w:rPr>
        <w:t>考核对象应积极配合</w:t>
      </w:r>
      <w:r>
        <w:rPr>
          <w:rFonts w:hint="eastAsia" w:ascii="仿宋_GB2312" w:hAnsi="仿宋_GB2312" w:eastAsia="仿宋_GB2312" w:cs="仿宋_GB2312"/>
          <w:sz w:val="32"/>
          <w:szCs w:val="32"/>
          <w:lang w:eastAsia="zh-CN"/>
        </w:rPr>
        <w:t>检测</w:t>
      </w:r>
      <w:r>
        <w:rPr>
          <w:rFonts w:hint="eastAsia" w:ascii="仿宋_GB2312" w:hAnsi="仿宋_GB2312" w:eastAsia="仿宋_GB2312" w:cs="仿宋_GB2312"/>
          <w:sz w:val="32"/>
          <w:szCs w:val="32"/>
        </w:rPr>
        <w:t>质量考核工作，按要求准备相应资料，并对提供资料的真实性、完整性、有效性负责。如发现存在隐瞒有关情况、提供虚假材料或者拒绝提供真实材料、阻挠或干扰考核工作正常开展等情形，将按有关规定处理。</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（二）</w:t>
      </w:r>
      <w:r>
        <w:rPr>
          <w:rFonts w:hint="eastAsia" w:ascii="仿宋_GB2312" w:hAnsi="仿宋_GB2312" w:eastAsia="仿宋_GB2312" w:cs="仿宋_GB2312"/>
          <w:sz w:val="32"/>
          <w:szCs w:val="32"/>
        </w:rPr>
        <w:t>质量考核结果向社会公告，作为对检测资质单位信用管理、监督管理、资质延续和资质升级的重要依据。对省外气象主管机构认定的检测资质单位质量考核结果，及时通报其资质认定机构。</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（三）</w:t>
      </w:r>
      <w:r>
        <w:rPr>
          <w:rFonts w:hint="eastAsia" w:ascii="仿宋_GB2312" w:hAnsi="仿宋_GB2312" w:eastAsia="仿宋_GB2312" w:cs="仿宋_GB2312"/>
          <w:sz w:val="32"/>
          <w:szCs w:val="32"/>
        </w:rPr>
        <w:t>雷电防护装置检测质量考核不收取任何费用。</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联系电话：0591-83731702</w:t>
      </w:r>
    </w:p>
    <w:p>
      <w:pPr>
        <w:overflowPunct w:val="0"/>
        <w:autoSpaceDE w:val="0"/>
        <w:autoSpaceDN w:val="0"/>
        <w:spacing w:line="560" w:lineRule="exact"/>
        <w:ind w:firstLine="640" w:firstLineChars="200"/>
        <w:rPr>
          <w:rFonts w:hint="eastAsia" w:ascii="仿宋_GB2312" w:hAnsi="仿宋_GB2312" w:eastAsia="仿宋_GB2312" w:cs="仿宋_GB2312"/>
          <w:color w:val="EE0000"/>
          <w:sz w:val="32"/>
          <w:szCs w:val="32"/>
        </w:rPr>
      </w:pPr>
      <w:r>
        <w:rPr>
          <w:rFonts w:hint="eastAsia" w:ascii="仿宋_GB2312" w:hAnsi="仿宋_GB2312" w:eastAsia="仿宋_GB2312" w:cs="仿宋_GB2312"/>
          <w:sz w:val="32"/>
          <w:szCs w:val="32"/>
        </w:rPr>
        <w:t>监督电话：0591-83357876</w:t>
      </w:r>
    </w:p>
    <w:p>
      <w:pPr>
        <w:overflowPunct w:val="0"/>
        <w:autoSpaceDE w:val="0"/>
        <w:autoSpaceDN w:val="0"/>
        <w:spacing w:line="560" w:lineRule="exact"/>
        <w:ind w:firstLine="640" w:firstLineChars="200"/>
        <w:rPr>
          <w:rFonts w:hint="eastAsia" w:ascii="仿宋_GB2312" w:hAnsi="仿宋_GB2312" w:eastAsia="仿宋_GB2312" w:cs="仿宋_GB2312"/>
          <w:sz w:val="32"/>
          <w:szCs w:val="32"/>
        </w:rPr>
      </w:pPr>
    </w:p>
    <w:p>
      <w:pPr>
        <w:overflowPunct w:val="0"/>
        <w:autoSpaceDE w:val="0"/>
        <w:autoSpaceDN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bookmarkStart w:id="0" w:name="_Hlk211011065"/>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年福建省雷电防护装置检测质量考核名单</w:t>
      </w:r>
    </w:p>
    <w:bookmarkEnd w:id="0"/>
    <w:p>
      <w:pPr>
        <w:snapToGrid w:val="0"/>
        <w:spacing w:line="430" w:lineRule="exact"/>
        <w:rPr>
          <w:rFonts w:hint="eastAsia" w:ascii="仿宋_GB2312" w:cs="Times New Roman"/>
          <w:spacing w:val="-6"/>
        </w:rPr>
      </w:pPr>
    </w:p>
    <w:p>
      <w:pPr>
        <w:snapToGrid w:val="0"/>
        <w:spacing w:line="430" w:lineRule="exact"/>
        <w:rPr>
          <w:rFonts w:hint="eastAsia" w:ascii="仿宋_GB2312" w:cs="Times New Roman"/>
          <w:spacing w:val="-6"/>
        </w:rPr>
      </w:pPr>
    </w:p>
    <w:p>
      <w:pPr>
        <w:snapToGrid w:val="0"/>
        <w:spacing w:line="430" w:lineRule="exact"/>
        <w:ind w:right="23"/>
        <w:jc w:val="left"/>
        <w:rPr>
          <w:rFonts w:hint="eastAsia" w:ascii="仿宋_GB2312" w:cs="Times New Roman"/>
          <w:color w:val="FFFFFF"/>
          <w:spacing w:val="-6"/>
          <w:szCs w:val="32"/>
        </w:rPr>
      </w:pPr>
      <w:r>
        <w:rPr>
          <w:rFonts w:hint="eastAsia" w:ascii="仿宋_GB2312" w:hAnsi="宋体" w:cs="Times New Roman"/>
          <w:spacing w:val="-6"/>
        </w:rPr>
        <mc:AlternateContent>
          <mc:Choice Requires="wps">
            <w:drawing>
              <wp:anchor distT="0" distB="0" distL="114300" distR="114300" simplePos="0" relativeHeight="251659264" behindDoc="0" locked="0" layoutInCell="1" allowOverlap="1">
                <wp:simplePos x="0" y="0"/>
                <wp:positionH relativeFrom="column">
                  <wp:posOffset>1828800</wp:posOffset>
                </wp:positionH>
                <wp:positionV relativeFrom="paragraph">
                  <wp:posOffset>212090</wp:posOffset>
                </wp:positionV>
                <wp:extent cx="4343400" cy="5111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343400" cy="511175"/>
                        </a:xfrm>
                        <a:prstGeom prst="rect">
                          <a:avLst/>
                        </a:prstGeom>
                        <a:solidFill>
                          <a:srgbClr val="FFFFFF">
                            <a:alpha val="0"/>
                          </a:srgbClr>
                        </a:solidFill>
                        <a:ln>
                          <a:noFill/>
                        </a:ln>
                      </wps:spPr>
                      <wps:txbx>
                        <w:txbxContent>
                          <w:p>
                            <w:pPr>
                              <w:jc w:val="center"/>
                              <w:rPr>
                                <w:rFonts w:hint="default" w:cs="Times New Roman"/>
                                <w:lang w:val="en-US"/>
                              </w:rPr>
                            </w:pPr>
                            <w:r>
                              <w:rPr>
                                <w:rFonts w:hint="default" w:cs="Times New Roman"/>
                                <w:lang w:val="en-US"/>
                              </w:rPr>
                              <w:t>福建省气象局</w:t>
                            </w:r>
                          </w:p>
                        </w:txbxContent>
                      </wps:txbx>
                      <wps:bodyPr upright="1"/>
                    </wps:wsp>
                  </a:graphicData>
                </a:graphic>
              </wp:anchor>
            </w:drawing>
          </mc:Choice>
          <mc:Fallback>
            <w:pict>
              <v:shape id="_x0000_s1026" o:spid="_x0000_s1026" o:spt="202" type="#_x0000_t202" style="position:absolute;left:0pt;margin-left:144pt;margin-top:16.7pt;height:40.25pt;width:342pt;z-index:251659264;mso-width-relative:margin;mso-height-relative:margin;" fillcolor="#FFFFFF"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v:path/>
                <v:fill on="t" opacity="0f" focussize="0,0"/>
                <v:stroke on="f" color="#FFFFFF"/>
                <v:imagedata o:title=""/>
                <o:lock v:ext="edit" grouping="f" rotation="f" text="f" aspectratio="f"/>
                <v:textbox>
                  <w:txbxContent>
                    <w:p>
                      <w:pPr>
                        <w:jc w:val="center"/>
                        <w:rPr>
                          <w:rFonts w:hint="default" w:cs="Times New Roman"/>
                          <w:lang w:val="en-US"/>
                        </w:rPr>
                      </w:pPr>
                      <w:r>
                        <w:rPr>
                          <w:rFonts w:hint="default" w:cs="Times New Roman"/>
                          <w:lang w:val="en-US"/>
                        </w:rPr>
                        <w:t>福建省气象局</w:t>
                      </w:r>
                    </w:p>
                  </w:txbxContent>
                </v:textbox>
              </v:shape>
            </w:pict>
          </mc:Fallback>
        </mc:AlternateContent>
      </w:r>
      <w:r>
        <w:rPr>
          <w:rFonts w:hint="eastAsia" w:ascii="仿宋_GB2312" w:cs="Times New Roman"/>
          <w:spacing w:val="-6"/>
        </w:rPr>
        <w:t xml:space="preserve">                                        </w:t>
      </w:r>
    </w:p>
    <w:p>
      <w:pPr>
        <w:snapToGrid w:val="0"/>
        <w:spacing w:line="576" w:lineRule="exact"/>
        <w:ind w:right="496" w:rightChars="155"/>
        <w:rPr>
          <w:rFonts w:hint="eastAsia" w:ascii="仿宋_GB2312" w:cs="Times New Roman"/>
          <w:spacing w:val="-6"/>
        </w:rPr>
      </w:pPr>
    </w:p>
    <w:p>
      <w:pPr>
        <w:snapToGrid w:val="0"/>
        <w:spacing w:line="576" w:lineRule="exact"/>
        <w:rPr>
          <w:rFonts w:hint="default" w:ascii="仿宋_GB2312" w:cs="Times New Roman"/>
          <w:lang w:val="en-US"/>
        </w:rPr>
      </w:pPr>
      <w:r>
        <w:rPr>
          <w:rFonts w:hint="eastAsia" w:ascii="仿宋_GB2312" w:cs="Times New Roman"/>
          <w:spacing w:val="-6"/>
        </w:rPr>
        <w:t xml:space="preserve">                          </w:t>
      </w:r>
      <w:r>
        <w:rPr>
          <w:rFonts w:hint="eastAsia" w:ascii="仿宋_GB2312" w:cs="Times New Roman"/>
          <w:i/>
          <w:iCs/>
          <w:spacing w:val="-6"/>
        </w:rPr>
        <w:t xml:space="preserve"> </w:t>
      </w:r>
      <w:r>
        <w:rPr>
          <w:rFonts w:hint="eastAsia" w:ascii="仿宋_GB2312" w:cs="Times New Roman"/>
          <w:spacing w:val="-6"/>
        </w:rPr>
        <w:t xml:space="preserve">        </w:t>
      </w:r>
      <w:r>
        <w:rPr>
          <w:rFonts w:hint="default" w:ascii="仿宋_GB2312" w:cs="Times New Roman"/>
          <w:spacing w:val="-6"/>
          <w:lang w:val="en-US"/>
        </w:rPr>
        <w:t>2025年11月13日</w:t>
      </w:r>
    </w:p>
    <w:p>
      <w:pPr>
        <w:snapToGrid w:val="0"/>
        <w:spacing w:line="576" w:lineRule="exact"/>
        <w:ind w:right="1280" w:rightChars="400"/>
        <w:rPr>
          <w:rFonts w:hint="eastAsia" w:ascii="仿宋_GB2312" w:cs="Times New Roman"/>
          <w:spacing w:val="-6"/>
        </w:rPr>
      </w:pPr>
    </w:p>
    <w:p>
      <w:pPr>
        <w:snapToGrid w:val="0"/>
        <w:spacing w:line="576" w:lineRule="exact"/>
        <w:ind w:right="1280" w:rightChars="400"/>
        <w:rPr>
          <w:rFonts w:hint="eastAsia" w:ascii="仿宋_GB2312" w:cs="Times New Roman"/>
          <w:spacing w:val="-6"/>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p>
    <w:p>
      <w:pPr>
        <w:spacing w:line="560" w:lineRule="exact"/>
        <w:rPr>
          <w:rFonts w:hint="eastAsia" w:ascii="黑体" w:hAnsi="黑体" w:eastAsia="黑体" w:cs="仿宋_GB2312"/>
          <w:sz w:val="32"/>
          <w:szCs w:val="32"/>
        </w:rPr>
      </w:pPr>
      <w:r>
        <w:rPr>
          <w:rFonts w:hint="eastAsia" w:ascii="黑体" w:hAnsi="黑体" w:eastAsia="黑体" w:cs="仿宋_GB2312"/>
          <w:sz w:val="32"/>
          <w:szCs w:val="32"/>
        </w:rPr>
        <w:t>附件</w:t>
      </w:r>
    </w:p>
    <w:p>
      <w:pPr>
        <w:spacing w:line="560" w:lineRule="exact"/>
        <w:rPr>
          <w:rFonts w:hint="eastAsia" w:ascii="黑体" w:hAnsi="黑体" w:eastAsia="黑体" w:cs="仿宋_GB2312"/>
          <w:sz w:val="32"/>
          <w:szCs w:val="32"/>
        </w:rPr>
      </w:pPr>
    </w:p>
    <w:p>
      <w:pPr>
        <w:spacing w:afterLines="0" w:line="700" w:lineRule="exact"/>
        <w:jc w:val="center"/>
        <w:rPr>
          <w:rFonts w:hint="eastAsia"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202</w:t>
      </w:r>
      <w:r>
        <w:rPr>
          <w:rFonts w:hint="eastAsia" w:ascii="方正小标宋简体" w:hAnsi="仿宋_GB2312" w:eastAsia="方正小标宋简体" w:cs="仿宋_GB2312"/>
          <w:sz w:val="44"/>
          <w:szCs w:val="44"/>
          <w:lang w:val="en-US" w:eastAsia="zh-CN"/>
        </w:rPr>
        <w:t>5</w:t>
      </w:r>
      <w:r>
        <w:rPr>
          <w:rFonts w:hint="eastAsia" w:ascii="方正小标宋简体" w:hAnsi="仿宋_GB2312" w:eastAsia="方正小标宋简体" w:cs="仿宋_GB2312"/>
          <w:sz w:val="44"/>
          <w:szCs w:val="44"/>
        </w:rPr>
        <w:t>年福建省雷电防护装置检测</w:t>
      </w:r>
    </w:p>
    <w:p>
      <w:pPr>
        <w:spacing w:after="0" w:afterLines="0" w:line="700" w:lineRule="exact"/>
        <w:jc w:val="center"/>
        <w:rPr>
          <w:rFonts w:hint="eastAsia" w:ascii="方正小标宋简体" w:hAnsi="仿宋_GB2312" w:eastAsia="方正小标宋简体" w:cs="仿宋_GB2312"/>
          <w:color w:val="auto"/>
          <w:sz w:val="44"/>
          <w:szCs w:val="44"/>
        </w:rPr>
      </w:pPr>
      <w:r>
        <w:rPr>
          <w:rFonts w:hint="eastAsia" w:ascii="方正小标宋简体" w:hAnsi="仿宋_GB2312" w:eastAsia="方正小标宋简体" w:cs="仿宋_GB2312"/>
          <w:sz w:val="44"/>
          <w:szCs w:val="44"/>
        </w:rPr>
        <w:t>质量</w:t>
      </w:r>
      <w:r>
        <w:rPr>
          <w:rFonts w:hint="eastAsia" w:ascii="方正小标宋简体" w:hAnsi="仿宋_GB2312" w:eastAsia="方正小标宋简体" w:cs="仿宋_GB2312"/>
          <w:color w:val="auto"/>
          <w:sz w:val="44"/>
          <w:szCs w:val="44"/>
        </w:rPr>
        <w:t>考核名单</w:t>
      </w:r>
    </w:p>
    <w:p>
      <w:pPr>
        <w:spacing w:after="0" w:afterLines="0" w:line="310" w:lineRule="exact"/>
        <w:jc w:val="center"/>
        <w:rPr>
          <w:rFonts w:hint="eastAsia" w:ascii="方正小标宋简体" w:hAnsi="仿宋_GB2312" w:eastAsia="方正小标宋简体" w:cs="仿宋_GB2312"/>
          <w:color w:val="auto"/>
          <w:sz w:val="44"/>
          <w:szCs w:val="44"/>
        </w:rPr>
      </w:pPr>
    </w:p>
    <w:tbl>
      <w:tblPr>
        <w:tblStyle w:val="2"/>
        <w:tblW w:w="5000" w:type="pct"/>
        <w:tblInd w:w="0" w:type="dxa"/>
        <w:tblLayout w:type="fixed"/>
        <w:tblCellMar>
          <w:top w:w="0" w:type="dxa"/>
          <w:left w:w="108" w:type="dxa"/>
          <w:bottom w:w="0" w:type="dxa"/>
          <w:right w:w="108" w:type="dxa"/>
        </w:tblCellMar>
      </w:tblPr>
      <w:tblGrid>
        <w:gridCol w:w="736"/>
        <w:gridCol w:w="4177"/>
        <w:gridCol w:w="1229"/>
        <w:gridCol w:w="2380"/>
      </w:tblGrid>
      <w:tr>
        <w:tblPrEx>
          <w:tblCellMar>
            <w:top w:w="0" w:type="dxa"/>
            <w:left w:w="108" w:type="dxa"/>
            <w:bottom w:w="0" w:type="dxa"/>
            <w:right w:w="108" w:type="dxa"/>
          </w:tblCellMar>
        </w:tblPrEx>
        <w:trPr>
          <w:trHeight w:val="567" w:hRule="atLeast"/>
          <w:tblHeader/>
        </w:trPr>
        <w:tc>
          <w:tcPr>
            <w:tcW w:w="43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等线" w:eastAsia="仿宋_GB2312" w:cs="宋体"/>
                <w:b/>
                <w:bCs/>
                <w:color w:val="000000"/>
                <w:kern w:val="0"/>
                <w:sz w:val="24"/>
                <w:szCs w:val="24"/>
              </w:rPr>
            </w:pPr>
            <w:r>
              <w:rPr>
                <w:rFonts w:hint="eastAsia" w:ascii="仿宋_GB2312" w:hAnsi="等线" w:eastAsia="仿宋_GB2312" w:cs="宋体"/>
                <w:b/>
                <w:bCs/>
                <w:color w:val="000000"/>
                <w:kern w:val="0"/>
                <w:sz w:val="24"/>
                <w:szCs w:val="24"/>
              </w:rPr>
              <w:t>序号</w:t>
            </w:r>
          </w:p>
        </w:tc>
        <w:tc>
          <w:tcPr>
            <w:tcW w:w="2450" w:type="pct"/>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hAnsi="等线" w:eastAsia="仿宋_GB2312" w:cs="宋体"/>
                <w:b/>
                <w:bCs/>
                <w:color w:val="000000"/>
                <w:kern w:val="0"/>
                <w:sz w:val="24"/>
                <w:szCs w:val="24"/>
              </w:rPr>
            </w:pPr>
            <w:r>
              <w:rPr>
                <w:rFonts w:hint="eastAsia" w:ascii="仿宋_GB2312" w:hAnsi="等线" w:eastAsia="仿宋_GB2312" w:cs="宋体"/>
                <w:b/>
                <w:bCs/>
                <w:color w:val="000000"/>
                <w:kern w:val="0"/>
                <w:sz w:val="24"/>
                <w:szCs w:val="24"/>
              </w:rPr>
              <w:t>单位名称</w:t>
            </w:r>
          </w:p>
        </w:tc>
        <w:tc>
          <w:tcPr>
            <w:tcW w:w="721" w:type="pct"/>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hAnsi="等线" w:eastAsia="仿宋_GB2312" w:cs="宋体"/>
                <w:b/>
                <w:bCs/>
                <w:color w:val="000000"/>
                <w:kern w:val="0"/>
                <w:sz w:val="24"/>
                <w:szCs w:val="24"/>
              </w:rPr>
            </w:pPr>
            <w:r>
              <w:rPr>
                <w:rFonts w:hint="eastAsia" w:ascii="仿宋_GB2312" w:hAnsi="等线" w:eastAsia="仿宋_GB2312" w:cs="宋体"/>
                <w:b/>
                <w:bCs/>
                <w:color w:val="000000"/>
                <w:kern w:val="0"/>
                <w:sz w:val="24"/>
                <w:szCs w:val="24"/>
              </w:rPr>
              <w:t>资质等级</w:t>
            </w:r>
          </w:p>
        </w:tc>
        <w:tc>
          <w:tcPr>
            <w:tcW w:w="1396" w:type="pct"/>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hAnsi="等线" w:eastAsia="仿宋_GB2312" w:cs="宋体"/>
                <w:b/>
                <w:bCs/>
                <w:color w:val="000000"/>
                <w:kern w:val="0"/>
                <w:sz w:val="24"/>
                <w:szCs w:val="24"/>
              </w:rPr>
            </w:pPr>
            <w:r>
              <w:rPr>
                <w:rFonts w:hint="eastAsia" w:ascii="仿宋_GB2312" w:hAnsi="等线" w:eastAsia="仿宋_GB2312" w:cs="宋体"/>
                <w:b/>
                <w:bCs/>
                <w:color w:val="000000"/>
                <w:kern w:val="0"/>
                <w:sz w:val="24"/>
                <w:szCs w:val="24"/>
              </w:rPr>
              <w:t>考核方式</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本溪普天防雷检测有限公司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福建华茂防雷减灾服务有限公司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项目考核、综合考核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3</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福建省宁德市防雷中心</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项目考核、综合考核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4</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福建省气象灾害防御技术中心</w:t>
            </w:r>
          </w:p>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（福建省防雷中心）</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项目考核、综合考核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5</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甘肃诚邦防雷检测有限公司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6</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甘肃无为防雷技术有限责任公司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7</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河北德创检测服务有限公司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8</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湖北天晨防雷科技有限公司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9</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湖北天宏检测科技集团有限公司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10</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湖南新中天检测有限公司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11</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湖南长昊气象科技有限公司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12</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吉林省北亚防雷装置检测咨询</w:t>
            </w:r>
          </w:p>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13</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吉林省宇泰安全技术服务有限公司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14</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江苏泓远检测科技有限公司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15</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江苏华云防雷检测有限公司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16</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江西爱劳电气安全技术有限公司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17</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江西巾星防雷科技有限公司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18</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江西科安防雷检测有限公司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19</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江西通雷科技有限公司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20</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江西中天防雷技术有限公司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21</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南京意诚科技有限公司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22</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濮阳光华气象服务有限公司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23</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泉州市防雷中心</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项目考核、综合考核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24</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山西恩博利雷电防护股份有限公司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25</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四川安瑞高科检测检验有限公司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26</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天津市防雷技术中心有限责任公司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27</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漳州市避雷装置安全监测所</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项目考核、综合考核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28</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中达安信（辽宁）科技有限公司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29</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湖北省防雷中心</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30</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许昌市风云防雷检测有限公司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31</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浙江防雷安全检测有限公司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甲级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32</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福建建利达工程技术有限公司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乙级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项目考核、综合考核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33</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福建万友工程集团有限公司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乙级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项目考核、综合考核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34</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河南煤安检测检验有限公司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乙级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r>
        <w:tblPrEx>
          <w:tblCellMar>
            <w:top w:w="0" w:type="dxa"/>
            <w:left w:w="108" w:type="dxa"/>
            <w:bottom w:w="0" w:type="dxa"/>
            <w:right w:w="108" w:type="dxa"/>
          </w:tblCellMar>
        </w:tblPrEx>
        <w:trPr>
          <w:trHeight w:val="567" w:hRule="atLeast"/>
        </w:trPr>
        <w:tc>
          <w:tcPr>
            <w:tcW w:w="431" w:type="pct"/>
            <w:tcBorders>
              <w:top w:val="nil"/>
              <w:left w:val="single" w:color="auto" w:sz="4" w:space="0"/>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35</w:t>
            </w:r>
          </w:p>
        </w:tc>
        <w:tc>
          <w:tcPr>
            <w:tcW w:w="2450"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江西省矿检安全科技有限公司</w:t>
            </w:r>
          </w:p>
        </w:tc>
        <w:tc>
          <w:tcPr>
            <w:tcW w:w="721"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乙级</w:t>
            </w:r>
          </w:p>
        </w:tc>
        <w:tc>
          <w:tcPr>
            <w:tcW w:w="1396" w:type="pct"/>
            <w:tcBorders>
              <w:top w:val="nil"/>
              <w:left w:val="nil"/>
              <w:bottom w:val="single" w:color="auto" w:sz="4" w:space="0"/>
              <w:right w:val="single" w:color="auto" w:sz="4" w:space="0"/>
            </w:tcBorders>
            <w:noWrap/>
            <w:vAlign w:val="center"/>
          </w:tcPr>
          <w:p>
            <w:pPr>
              <w:widowControl/>
              <w:spacing w:line="440" w:lineRule="exact"/>
              <w:jc w:val="center"/>
              <w:rPr>
                <w:rFonts w:hint="eastAsia" w:ascii="仿宋_GB2312" w:hAnsi="等线" w:eastAsia="仿宋_GB2312" w:cs="宋体"/>
                <w:color w:val="000000"/>
                <w:kern w:val="0"/>
                <w:sz w:val="24"/>
                <w:szCs w:val="24"/>
              </w:rPr>
            </w:pPr>
            <w:r>
              <w:rPr>
                <w:rFonts w:hint="eastAsia" w:ascii="仿宋_GB2312" w:hAnsi="等线" w:eastAsia="仿宋_GB2312" w:cs="宋体"/>
                <w:color w:val="000000"/>
                <w:kern w:val="0"/>
                <w:sz w:val="24"/>
                <w:szCs w:val="24"/>
              </w:rPr>
              <w:t>项目考核</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3 of 9 Barcode"/>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3 of 9 Barcode"/>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等线">
    <w:altName w:val="微软雅黑"/>
    <w:panose1 w:val="02010600030101010101"/>
    <w:charset w:val="00"/>
    <w:family w:val="auto"/>
    <w:pitch w:val="default"/>
    <w:sig w:usb0="00000000" w:usb1="00000000" w:usb2="00000016" w:usb3="00000000" w:csb0="0004000F" w:csb1="00000000"/>
  </w:font>
  <w:font w:name="3 of 9 Barcode">
    <w:panose1 w:val="04027200000000000000"/>
    <w:charset w:val="00"/>
    <w:family w:val="auto"/>
    <w:pitch w:val="default"/>
    <w:sig w:usb0="00000000" w:usb1="00000000" w:usb2="00000000" w:usb3="00000000" w:csb0="00000000" w:csb1="00000000"/>
  </w:font>
  <w:font w:name="DejaVu Sans">
    <w:panose1 w:val="020B0606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9D5700"/>
    <w:rsid w:val="6D9D5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2025-11-14T17:10:00Z</dcterms:created>
  <dc:creator>林彦博</dc:creator>
  <cp:lastModifiedBy>林彦博</cp:lastModifiedBy>
  <dcterms:modified xsi:type="dcterms:W3CDTF">2025-11-14T17:18:08Z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65AFD1AFF0EF492EF1F11669462D792C</vt:lpwstr>
  </property>
</Properties>
</file>