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hint="default" w:ascii="方正小标宋简体" w:hAnsi="宋体" w:eastAsia="方正小标宋简体"/>
          <w:sz w:val="44"/>
          <w:szCs w:val="44"/>
          <w:lang w:val="en-US"/>
        </w:rPr>
      </w:pPr>
      <w:bookmarkStart w:id="3" w:name="_GoBack"/>
      <w:bookmarkEnd w:id="3"/>
      <w:bookmarkStart w:id="0" w:name="B0001"/>
      <w:r>
        <w:rPr>
          <w:rFonts w:hint="default" w:ascii="方正小标宋简体" w:hAnsi="宋体" w:eastAsia="方正小标宋简体"/>
          <w:sz w:val="44"/>
          <w:szCs w:val="44"/>
          <w:lang w:val="en-US"/>
        </w:rPr>
        <w:t>福建省气象局关于印发《福建省雷电防护</w:t>
      </w:r>
    </w:p>
    <w:p>
      <w:pPr>
        <w:snapToGrid w:val="0"/>
        <w:spacing w:line="700" w:lineRule="exact"/>
        <w:jc w:val="center"/>
        <w:rPr>
          <w:rFonts w:hint="default" w:ascii="方正小标宋简体" w:hAnsi="宋体" w:eastAsia="方正小标宋简体"/>
          <w:sz w:val="44"/>
          <w:szCs w:val="44"/>
          <w:lang w:val="en-US"/>
        </w:rPr>
      </w:pPr>
      <w:r>
        <w:rPr>
          <w:rFonts w:hint="default" w:ascii="方正小标宋简体" w:hAnsi="宋体" w:eastAsia="方正小标宋简体"/>
          <w:sz w:val="44"/>
          <w:szCs w:val="44"/>
          <w:lang w:val="en-US"/>
        </w:rPr>
        <w:t>装置检测单位公共信用信息管理</w:t>
      </w:r>
    </w:p>
    <w:p>
      <w:pPr>
        <w:snapToGrid w:val="0"/>
        <w:spacing w:line="700" w:lineRule="exact"/>
        <w:jc w:val="center"/>
        <w:rPr>
          <w:rFonts w:hint="default" w:ascii="方正小标宋简体" w:hAnsi="宋体" w:eastAsia="方正小标宋简体"/>
          <w:sz w:val="44"/>
          <w:szCs w:val="44"/>
          <w:lang w:val="en-US"/>
        </w:rPr>
      </w:pPr>
      <w:r>
        <w:rPr>
          <w:rFonts w:hint="default" w:ascii="方正小标宋简体" w:hAnsi="宋体" w:eastAsia="方正小标宋简体"/>
          <w:sz w:val="44"/>
          <w:szCs w:val="44"/>
          <w:lang w:val="en-US"/>
        </w:rPr>
        <w:t>实施细则》的通知</w:t>
      </w:r>
      <w:bookmarkEnd w:id="0"/>
    </w:p>
    <w:p>
      <w:pPr>
        <w:snapToGrid w:val="0"/>
        <w:spacing w:line="700" w:lineRule="exact"/>
        <w:jc w:val="center"/>
        <w:rPr>
          <w:rFonts w:hint="default" w:ascii="方正小标宋简体" w:hAnsi="宋体" w:eastAsia="方正小标宋简体"/>
          <w:sz w:val="44"/>
          <w:szCs w:val="44"/>
          <w:lang w:val="en-US"/>
        </w:rPr>
      </w:pPr>
    </w:p>
    <w:p>
      <w:pPr>
        <w:snapToGrid/>
        <w:spacing w:line="320" w:lineRule="exact"/>
        <w:jc w:val="center"/>
        <w:rPr>
          <w:rFonts w:hint="default" w:ascii="方正小标宋简体" w:hAnsi="宋体" w:eastAsia="方正小标宋简体"/>
          <w:sz w:val="44"/>
          <w:szCs w:val="44"/>
          <w:lang w:val="en-US"/>
        </w:rPr>
      </w:pPr>
      <w:r>
        <w:rPr>
          <w:rFonts w:hint="default" w:ascii="仿宋_GB2312"/>
          <w:lang w:val="en-US"/>
        </w:rPr>
        <w:t>闽气规发〔2025〕4号</w:t>
      </w:r>
    </w:p>
    <w:p>
      <w:pPr>
        <w:keepNext w:val="0"/>
        <w:keepLines w:val="0"/>
        <w:pageBreakBefore w:val="0"/>
        <w:widowControl w:val="0"/>
        <w:kinsoku/>
        <w:wordWrap/>
        <w:overflowPunct/>
        <w:topLinePunct w:val="0"/>
        <w:autoSpaceDE/>
        <w:autoSpaceDN/>
        <w:bidi w:val="0"/>
        <w:adjustRightInd/>
        <w:snapToGrid w:val="0"/>
        <w:spacing w:line="310" w:lineRule="exact"/>
        <w:jc w:val="center"/>
        <w:textAlignment w:val="auto"/>
        <w:rPr>
          <w:rFonts w:hint="eastAsia" w:ascii="仿宋_GB2312"/>
          <w:spacing w:val="-6"/>
        </w:rPr>
      </w:pPr>
    </w:p>
    <w:p>
      <w:pPr>
        <w:overflowPunct w:val="0"/>
        <w:autoSpaceDE w:val="0"/>
        <w:autoSpaceDN w:val="0"/>
        <w:spacing w:line="560" w:lineRule="exact"/>
        <w:ind w:firstLine="0" w:firstLineChars="0"/>
        <w:rPr>
          <w:rFonts w:ascii="宋体" w:hAnsi="宋体" w:eastAsia="宋体"/>
          <w:spacing w:val="-6"/>
        </w:rPr>
      </w:pPr>
      <w:bookmarkStart w:id="1" w:name="开始"/>
      <w:bookmarkEnd w:id="1"/>
      <w:bookmarkStart w:id="2" w:name="主送机关"/>
      <w:r>
        <w:rPr>
          <w:rFonts w:hint="default" w:ascii="仿宋_GB2312" w:hAnsi="宋体"/>
          <w:spacing w:val="-6"/>
          <w:lang w:val="en-US"/>
        </w:rPr>
        <w:t>各设区市气象局，平潭综合实验区气象局，各有关单位</w:t>
      </w:r>
      <w:bookmarkEnd w:id="2"/>
      <w:r>
        <w:rPr>
          <w:rFonts w:hint="eastAsia" w:ascii="仿宋_GB2312" w:hAnsi="宋体"/>
          <w:spacing w:val="-6"/>
        </w:rPr>
        <w:t>：</w:t>
      </w:r>
    </w:p>
    <w:p>
      <w:pPr>
        <w:overflowPunct w:val="0"/>
        <w:autoSpaceDE w:val="0"/>
        <w:autoSpaceDN w:val="0"/>
        <w:spacing w:line="560" w:lineRule="exact"/>
        <w:ind w:firstLine="632" w:firstLineChars="200"/>
        <w:jc w:val="both"/>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rPr>
        <w:t>为加强雷电防护装置检测单位公共信用信息管理，促进雷电防护装置检测市场健康有序发展，根据《雷电防护装置检测资质管理办法》《雷电防护装置检测资质单位公共信用信息管理办法》《福建省公共信用信息管理暂行办法》《失信行为纠正后的信用信息修复管理办法（试行）》等有关规定，结合本省实际情况，</w:t>
      </w:r>
      <w:r>
        <w:rPr>
          <w:rFonts w:hint="eastAsia" w:ascii="仿宋_GB2312" w:hAnsi="仿宋_GB2312" w:eastAsia="仿宋_GB2312"/>
          <w:kern w:val="0"/>
          <w:sz w:val="32"/>
          <w:szCs w:val="32"/>
          <w:lang w:eastAsia="zh-CN"/>
        </w:rPr>
        <w:t>福建省气象局组织</w:t>
      </w:r>
      <w:r>
        <w:rPr>
          <w:rFonts w:hint="eastAsia" w:ascii="仿宋_GB2312" w:hAnsi="仿宋_GB2312" w:eastAsia="仿宋_GB2312"/>
          <w:kern w:val="0"/>
          <w:sz w:val="32"/>
          <w:szCs w:val="32"/>
        </w:rPr>
        <w:t>制定</w:t>
      </w:r>
      <w:r>
        <w:rPr>
          <w:rFonts w:hint="eastAsia" w:ascii="仿宋_GB2312" w:hAnsi="仿宋_GB2312" w:eastAsia="仿宋_GB2312"/>
          <w:kern w:val="0"/>
          <w:sz w:val="32"/>
          <w:szCs w:val="32"/>
          <w:lang w:eastAsia="zh-CN"/>
        </w:rPr>
        <w:t>了《</w:t>
      </w:r>
      <w:r>
        <w:rPr>
          <w:rFonts w:hint="eastAsia" w:ascii="仿宋_GB2312" w:hAnsi="仿宋_GB2312" w:eastAsia="仿宋_GB2312"/>
          <w:kern w:val="0"/>
          <w:sz w:val="32"/>
          <w:szCs w:val="32"/>
        </w:rPr>
        <w:t>福建省雷电防护装置检测单位公共信用信息管理实施细则</w:t>
      </w:r>
      <w:r>
        <w:rPr>
          <w:rFonts w:hint="eastAsia" w:ascii="仿宋_GB2312" w:hAnsi="仿宋_GB2312" w:eastAsia="仿宋_GB2312"/>
          <w:kern w:val="0"/>
          <w:sz w:val="32"/>
          <w:szCs w:val="32"/>
          <w:lang w:eastAsia="zh-CN"/>
        </w:rPr>
        <w:t>》。现予印发，请遵照执行。</w:t>
      </w:r>
    </w:p>
    <w:p>
      <w:pPr>
        <w:overflowPunct w:val="0"/>
        <w:autoSpaceDE w:val="0"/>
        <w:autoSpaceDN w:val="0"/>
        <w:spacing w:line="560" w:lineRule="exact"/>
        <w:ind w:firstLine="632" w:firstLineChars="200"/>
        <w:jc w:val="both"/>
        <w:rPr>
          <w:rFonts w:hint="eastAsia" w:ascii="仿宋_GB2312" w:hAnsi="宋体" w:eastAsia="仿宋_GB2312"/>
          <w:kern w:val="0"/>
          <w:sz w:val="32"/>
          <w:szCs w:val="32"/>
        </w:rPr>
      </w:pPr>
    </w:p>
    <w:p>
      <w:pPr>
        <w:overflowPunct w:val="0"/>
        <w:autoSpaceDE w:val="0"/>
        <w:autoSpaceDN w:val="0"/>
        <w:spacing w:line="560" w:lineRule="exact"/>
        <w:ind w:left="0" w:leftChars="0" w:firstLine="632" w:firstLineChars="200"/>
        <w:jc w:val="both"/>
        <w:rPr>
          <w:rFonts w:hint="eastAsia" w:ascii="仿宋_GB2312" w:hAnsi="宋体" w:eastAsia="仿宋_GB2312"/>
          <w:kern w:val="0"/>
          <w:sz w:val="32"/>
          <w:szCs w:val="32"/>
        </w:rPr>
      </w:pPr>
      <w:r>
        <w:rPr>
          <w:rFonts w:hint="eastAsia" w:ascii="仿宋_GB2312" w:hAnsi="宋体" w:eastAsia="仿宋_GB2312"/>
          <w:kern w:val="0"/>
          <w:sz w:val="32"/>
          <w:szCs w:val="32"/>
          <w:lang w:eastAsia="zh-CN"/>
        </w:rPr>
        <w:t>附件：</w:t>
      </w:r>
      <w:r>
        <w:rPr>
          <w:rFonts w:hint="eastAsia" w:ascii="仿宋_GB2312" w:hAnsi="宋体" w:eastAsia="仿宋_GB2312"/>
          <w:kern w:val="0"/>
          <w:sz w:val="32"/>
          <w:szCs w:val="32"/>
          <w:lang w:val="en-US" w:eastAsia="zh-CN"/>
        </w:rPr>
        <w:t>1.</w:t>
      </w:r>
      <w:r>
        <w:rPr>
          <w:rFonts w:hint="eastAsia" w:ascii="仿宋_GB2312" w:hAnsi="宋体" w:eastAsia="仿宋_GB2312"/>
          <w:spacing w:val="-6"/>
          <w:kern w:val="0"/>
          <w:sz w:val="32"/>
          <w:szCs w:val="32"/>
        </w:rPr>
        <w:t>福建省雷电防护装置检测单位信用评价评分标准</w:t>
      </w:r>
    </w:p>
    <w:p>
      <w:pPr>
        <w:overflowPunct w:val="0"/>
        <w:autoSpaceDE w:val="0"/>
        <w:autoSpaceDN w:val="0"/>
        <w:spacing w:line="560" w:lineRule="exact"/>
        <w:ind w:left="0" w:leftChars="0" w:firstLine="1580" w:firstLineChars="500"/>
        <w:jc w:val="both"/>
        <w:rPr>
          <w:rFonts w:hint="eastAsia" w:ascii="仿宋_GB2312" w:hAnsi="宋体" w:eastAsia="仿宋_GB2312"/>
          <w:kern w:val="0"/>
          <w:sz w:val="32"/>
          <w:szCs w:val="32"/>
        </w:rPr>
      </w:pPr>
      <w:r>
        <w:rPr>
          <w:rFonts w:hint="eastAsia" w:ascii="仿宋_GB2312" w:hAnsi="宋体" w:eastAsia="仿宋_GB2312"/>
          <w:kern w:val="0"/>
          <w:sz w:val="32"/>
          <w:szCs w:val="32"/>
          <w:lang w:val="en-US" w:eastAsia="zh-CN"/>
        </w:rPr>
        <w:t>2.</w:t>
      </w:r>
      <w:r>
        <w:rPr>
          <w:rFonts w:hint="eastAsia" w:ascii="仿宋_GB2312" w:hAnsi="宋体" w:eastAsia="仿宋_GB2312"/>
          <w:kern w:val="0"/>
          <w:sz w:val="32"/>
          <w:szCs w:val="32"/>
        </w:rPr>
        <w:t>福建省雷电防护装置检测单位公共信用信息公示表</w:t>
      </w:r>
    </w:p>
    <w:p>
      <w:pPr>
        <w:spacing w:line="430" w:lineRule="exact"/>
        <w:ind w:firstLine="632" w:firstLineChars="200"/>
        <w:jc w:val="both"/>
        <w:rPr>
          <w:rFonts w:hint="eastAsia" w:ascii="仿宋_GB2312" w:hAnsi="宋体" w:eastAsia="仿宋_GB2312"/>
          <w:kern w:val="0"/>
          <w:sz w:val="32"/>
          <w:szCs w:val="32"/>
          <w:lang w:eastAsia="zh-CN"/>
        </w:rPr>
      </w:pPr>
    </w:p>
    <w:p>
      <w:pPr>
        <w:snapToGrid w:val="0"/>
        <w:spacing w:line="430" w:lineRule="exact"/>
        <w:rPr>
          <w:rFonts w:hint="eastAsia" w:ascii="仿宋_GB2312"/>
          <w:spacing w:val="-6"/>
        </w:rPr>
      </w:pPr>
    </w:p>
    <w:p>
      <w:pPr>
        <w:snapToGrid w:val="0"/>
        <w:spacing w:line="430" w:lineRule="exact"/>
        <w:ind w:right="23"/>
        <w:jc w:val="left"/>
        <w:rPr>
          <w:rFonts w:hint="eastAsia" w:ascii="仿宋_GB2312"/>
          <w:color w:val="FFFFFF"/>
          <w:spacing w:val="-6"/>
          <w:szCs w:val="32"/>
        </w:rPr>
      </w:pPr>
      <w:r>
        <w:rPr>
          <w:rFonts w:hint="eastAsia" w:ascii="仿宋_GB2312" w:hAnsi="宋体"/>
          <w:spacing w:val="-6"/>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221615</wp:posOffset>
                </wp:positionV>
                <wp:extent cx="4343400" cy="511175"/>
                <wp:effectExtent l="0" t="0" r="0" b="0"/>
                <wp:wrapNone/>
                <wp:docPr id="1" name="文本框 2"/>
                <wp:cNvGraphicFramePr/>
                <a:graphic xmlns:a="http://schemas.openxmlformats.org/drawingml/2006/main">
                  <a:graphicData uri="http://schemas.microsoft.com/office/word/2010/wordprocessingShape">
                    <wps:wsp>
                      <wps:cNvSpPr txBox="1"/>
                      <wps:spPr>
                        <a:xfrm>
                          <a:off x="0" y="0"/>
                          <a:ext cx="4343400" cy="511175"/>
                        </a:xfrm>
                        <a:prstGeom prst="rect">
                          <a:avLst/>
                        </a:prstGeom>
                        <a:solidFill>
                          <a:srgbClr val="FFFFFF">
                            <a:alpha val="0"/>
                          </a:srgbClr>
                        </a:solidFill>
                        <a:ln>
                          <a:noFill/>
                        </a:ln>
                      </wps:spPr>
                      <wps:txbx>
                        <w:txbxContent>
                          <w:p>
                            <w:pPr>
                              <w:jc w:val="center"/>
                              <w:rPr>
                                <w:rFonts w:hint="default"/>
                                <w:lang w:val="en-US"/>
                              </w:rPr>
                            </w:pPr>
                            <w:r>
                              <w:rPr>
                                <w:rFonts w:hint="default"/>
                                <w:lang w:val="en-US"/>
                              </w:rPr>
                              <w:t>福建省气象局</w:t>
                            </w:r>
                          </w:p>
                        </w:txbxContent>
                      </wps:txbx>
                      <wps:bodyPr wrap="square" upright="1"/>
                    </wps:wsp>
                  </a:graphicData>
                </a:graphic>
              </wp:anchor>
            </w:drawing>
          </mc:Choice>
          <mc:Fallback>
            <w:pict>
              <v:shape id="文本框 2" o:spid="_x0000_s1026" o:spt="202" type="#_x0000_t202" style="position:absolute;left:0pt;margin-left:144pt;margin-top:17.45pt;height:40.25pt;width:342pt;z-index:251659264;mso-width-relative:margin;mso-height-relative:margin;" fillcolor="#FFFFFF" filled="t" stroked="f" coordsize="21600,21600" o:gfxdata="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B0q&#10;Rk7YAAAACgEAAA8AAAAAAAAAAQAgAAAAOAAAAGRycy9kb3ducmV2LnhtbFBLAQIUABQAAAAIAIdO&#10;4kC19bRK1AEAAKIDAAAOAAAAAAAAAAEAIAAAAD0BAABkcnMvZTJvRG9jLnhtbFBLBQYAAAAABgAG&#10;AFkBAACDBQAAAAA=&#10;">
                <v:fill on="t" opacity="0f" focussize="0,0"/>
                <v:stroke on="f"/>
                <v:imagedata o:title=""/>
                <o:lock v:ext="edit" aspectratio="f"/>
                <v:textbox>
                  <w:txbxContent>
                    <w:p>
                      <w:pPr>
                        <w:jc w:val="center"/>
                        <w:rPr>
                          <w:rFonts w:hint="default"/>
                          <w:lang w:val="en-US"/>
                        </w:rPr>
                      </w:pPr>
                      <w:r>
                        <w:rPr>
                          <w:rFonts w:hint="default"/>
                          <w:lang w:val="en-US"/>
                        </w:rPr>
                        <w:t>福建省气象局</w:t>
                      </w:r>
                    </w:p>
                  </w:txbxContent>
                </v:textbox>
              </v:shape>
            </w:pict>
          </mc:Fallback>
        </mc:AlternateContent>
      </w:r>
      <w:r>
        <w:rPr>
          <w:rFonts w:hint="eastAsia" w:ascii="仿宋_GB2312"/>
          <w:spacing w:val="-6"/>
        </w:rPr>
        <w:t xml:space="preserve">                                        </w:t>
      </w:r>
    </w:p>
    <w:p>
      <w:pPr>
        <w:snapToGrid w:val="0"/>
        <w:spacing w:line="576" w:lineRule="exact"/>
        <w:ind w:right="489" w:rightChars="155"/>
        <w:rPr>
          <w:rFonts w:hint="eastAsia" w:ascii="仿宋_GB2312"/>
          <w:spacing w:val="-6"/>
        </w:rPr>
      </w:pPr>
    </w:p>
    <w:p>
      <w:pPr>
        <w:snapToGrid w:val="0"/>
        <w:spacing w:line="576" w:lineRule="exact"/>
        <w:rPr>
          <w:rFonts w:hint="default" w:ascii="仿宋_GB2312"/>
          <w:lang w:val="en-US"/>
        </w:rPr>
      </w:pPr>
      <w:r>
        <w:rPr>
          <w:rFonts w:hint="eastAsia" w:ascii="仿宋_GB2312"/>
          <w:spacing w:val="-6"/>
        </w:rPr>
        <w:t xml:space="preserve">                          </w:t>
      </w:r>
      <w:r>
        <w:rPr>
          <w:rFonts w:hint="eastAsia" w:ascii="仿宋_GB2312"/>
          <w:i/>
          <w:iCs/>
          <w:spacing w:val="-6"/>
        </w:rPr>
        <w:t xml:space="preserve"> </w:t>
      </w:r>
      <w:r>
        <w:rPr>
          <w:rFonts w:hint="eastAsia" w:ascii="仿宋_GB2312"/>
          <w:spacing w:val="-6"/>
        </w:rPr>
        <w:t xml:space="preserve">        </w:t>
      </w:r>
      <w:r>
        <w:rPr>
          <w:rFonts w:hint="default" w:ascii="仿宋_GB2312"/>
          <w:spacing w:val="-6"/>
          <w:lang w:val="en-US"/>
        </w:rPr>
        <w:t>2025年10月31日</w:t>
      </w:r>
    </w:p>
    <w:p>
      <w:pPr>
        <w:snapToGrid w:val="0"/>
        <w:spacing w:line="576" w:lineRule="exact"/>
        <w:ind w:right="1264" w:rightChars="400"/>
        <w:rPr>
          <w:rFonts w:hint="eastAsia" w:ascii="仿宋_GB2312"/>
          <w:spacing w:val="-6"/>
        </w:rPr>
      </w:pPr>
    </w:p>
    <w:p>
      <w:pPr>
        <w:spacing w:line="7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福建省雷电防护装置检测单位</w:t>
      </w:r>
    </w:p>
    <w:p>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公共信用信息管理实施细则</w:t>
      </w:r>
    </w:p>
    <w:p>
      <w:pPr>
        <w:spacing w:before="0" w:beforeLines="0" w:after="0" w:afterLines="0" w:line="310" w:lineRule="exact"/>
        <w:jc w:val="center"/>
        <w:rPr>
          <w:rFonts w:hint="eastAsia" w:ascii="黑体" w:hAnsi="黑体" w:eastAsia="黑体"/>
          <w:sz w:val="32"/>
          <w:szCs w:val="32"/>
        </w:rPr>
      </w:pPr>
    </w:p>
    <w:p>
      <w:pPr>
        <w:overflowPunct w:val="0"/>
        <w:autoSpaceDE w:val="0"/>
        <w:autoSpaceDN w:val="0"/>
        <w:spacing w:before="0" w:beforeLines="0" w:after="0" w:afterLines="0" w:line="560" w:lineRule="exact"/>
        <w:ind w:firstLine="0" w:firstLineChars="0"/>
        <w:jc w:val="center"/>
        <w:rPr>
          <w:rFonts w:ascii="黑体" w:hAnsi="黑体" w:eastAsia="黑体"/>
          <w:sz w:val="32"/>
          <w:szCs w:val="32"/>
        </w:rPr>
      </w:pPr>
      <w:r>
        <w:rPr>
          <w:rFonts w:hint="eastAsia" w:ascii="黑体" w:hAnsi="黑体" w:eastAsia="黑体"/>
          <w:sz w:val="32"/>
          <w:szCs w:val="32"/>
        </w:rPr>
        <w:t xml:space="preserve">第一章  总  </w:t>
      </w:r>
      <w:r>
        <w:rPr>
          <w:rFonts w:ascii="黑体" w:hAnsi="黑体" w:eastAsia="黑体"/>
          <w:sz w:val="32"/>
          <w:szCs w:val="32"/>
        </w:rPr>
        <w:t>则</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rPr>
        <w:t>第一条</w:t>
      </w:r>
      <w:r>
        <w:rPr>
          <w:rFonts w:hint="eastAsia" w:ascii="仿宋_GB2312" w:hAnsi="仿宋_GB2312" w:eastAsia="仿宋_GB2312"/>
          <w:kern w:val="0"/>
          <w:sz w:val="32"/>
          <w:szCs w:val="32"/>
        </w:rPr>
        <w:t xml:space="preserve">  为了加强雷电防护装置检测单位</w:t>
      </w:r>
      <w:r>
        <w:rPr>
          <w:rFonts w:hint="eastAsia" w:ascii="仿宋_GB2312" w:hAnsi="仿宋_GB2312" w:eastAsia="仿宋_GB2312" w:cs="仿宋_GB2312"/>
          <w:kern w:val="0"/>
          <w:sz w:val="32"/>
          <w:szCs w:val="32"/>
        </w:rPr>
        <w:t>（以下简称</w:t>
      </w:r>
      <w:r>
        <w:rPr>
          <w:rFonts w:hint="eastAsia" w:ascii="仿宋_GB2312" w:hAnsi="仿宋_GB2312" w:eastAsia="仿宋_GB2312"/>
          <w:kern w:val="0"/>
          <w:sz w:val="32"/>
          <w:szCs w:val="32"/>
        </w:rPr>
        <w:t>检测</w:t>
      </w:r>
      <w:r>
        <w:rPr>
          <w:rFonts w:hint="eastAsia" w:ascii="仿宋_GB2312" w:hAnsi="仿宋_GB2312" w:eastAsia="仿宋_GB2312" w:cs="仿宋_GB2312"/>
          <w:kern w:val="0"/>
          <w:sz w:val="32"/>
          <w:szCs w:val="32"/>
        </w:rPr>
        <w:t>单位</w:t>
      </w:r>
      <w:r>
        <w:rPr>
          <w:rFonts w:hint="eastAsia" w:ascii="仿宋_GB2312" w:hAnsi="仿宋_GB2312" w:eastAsia="仿宋_GB2312"/>
          <w:kern w:val="0"/>
          <w:sz w:val="32"/>
          <w:szCs w:val="32"/>
        </w:rPr>
        <w:t>）公共信用信息管理，促进雷电防护装置检测市场健康有序发展，根据《雷电防护装置检测资质管理办法》《雷电防护装置检测资质单位公共信用信息管理办法》《福建省公共信用信息管理暂行办法》《失信行为纠正后的信用信息修复管理办法（试行）》等有关规定，结合本省实际情况，制定本细则。</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lang w:bidi="ar"/>
        </w:rPr>
      </w:pPr>
      <w:r>
        <w:rPr>
          <w:rFonts w:hint="eastAsia" w:ascii="黑体" w:hAnsi="黑体" w:eastAsia="黑体" w:cs="黑体"/>
          <w:kern w:val="0"/>
          <w:sz w:val="32"/>
          <w:szCs w:val="32"/>
          <w:lang w:bidi="ar"/>
        </w:rPr>
        <w:t>第二条</w:t>
      </w:r>
      <w:r>
        <w:rPr>
          <w:rFonts w:hint="eastAsia" w:ascii="仿宋_GB2312" w:hAnsi="仿宋_GB2312" w:eastAsia="仿宋_GB2312" w:cs="仿宋_GB2312"/>
          <w:kern w:val="0"/>
          <w:sz w:val="32"/>
          <w:szCs w:val="32"/>
          <w:lang w:bidi="ar"/>
        </w:rPr>
        <w:t xml:space="preserve">  本细则适用于本省行政区域内从事雷电防护装置检测活动单位的公共信用信息管理。</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lang w:bidi="ar"/>
        </w:rPr>
        <w:t xml:space="preserve">第三条  </w:t>
      </w:r>
      <w:r>
        <w:rPr>
          <w:rFonts w:hint="eastAsia" w:ascii="仿宋_GB2312" w:hAnsi="仿宋_GB2312" w:eastAsia="仿宋_GB2312"/>
          <w:kern w:val="0"/>
          <w:sz w:val="32"/>
          <w:szCs w:val="32"/>
        </w:rPr>
        <w:t>本细则所称公共信用信息，是指各级气象主管机构在履行防雷行政审批及日常监督管理过程中产生和获取的信用信息。</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rPr>
      </w:pPr>
      <w:r>
        <w:rPr>
          <w:rFonts w:hint="eastAsia" w:ascii="黑体" w:hAnsi="黑体" w:eastAsia="黑体" w:cs="黑体"/>
          <w:kern w:val="0"/>
          <w:sz w:val="32"/>
          <w:szCs w:val="32"/>
          <w:lang w:bidi="ar"/>
        </w:rPr>
        <w:t xml:space="preserve">第四条  </w:t>
      </w:r>
      <w:r>
        <w:rPr>
          <w:rFonts w:hint="eastAsia" w:ascii="仿宋_GB2312" w:hAnsi="仿宋_GB2312" w:eastAsia="仿宋_GB2312"/>
          <w:color w:val="auto"/>
          <w:kern w:val="0"/>
          <w:sz w:val="32"/>
          <w:szCs w:val="32"/>
        </w:rPr>
        <w:t>公共信用信息管理工作，应当遵循公开</w:t>
      </w:r>
      <w:r>
        <w:rPr>
          <w:rFonts w:hint="eastAsia" w:ascii="仿宋_GB2312" w:hAnsi="仿宋_GB2312" w:eastAsia="仿宋_GB2312" w:cs="仿宋_GB2312"/>
          <w:color w:val="auto"/>
          <w:kern w:val="0"/>
          <w:sz w:val="32"/>
          <w:szCs w:val="32"/>
        </w:rPr>
        <w:t>透明、客观公正</w:t>
      </w:r>
      <w:r>
        <w:rPr>
          <w:rFonts w:hint="eastAsia" w:ascii="仿宋_GB2312" w:hAnsi="仿宋_GB2312" w:eastAsia="仿宋_GB2312"/>
          <w:color w:val="auto"/>
          <w:kern w:val="0"/>
          <w:sz w:val="32"/>
          <w:szCs w:val="32"/>
        </w:rPr>
        <w:t>、动态更新</w:t>
      </w:r>
      <w:r>
        <w:rPr>
          <w:rFonts w:hint="eastAsia" w:ascii="仿宋_GB2312" w:hAnsi="仿宋_GB2312" w:eastAsia="仿宋_GB2312" w:cs="仿宋_GB2312"/>
          <w:color w:val="auto"/>
          <w:kern w:val="0"/>
          <w:sz w:val="32"/>
          <w:szCs w:val="32"/>
        </w:rPr>
        <w:t>的原则，应当依法保守国家秘密、商业秘密和个人隐私</w:t>
      </w:r>
      <w:r>
        <w:rPr>
          <w:rFonts w:hint="eastAsia" w:ascii="仿宋_GB2312" w:hAnsi="仿宋_GB2312" w:eastAsia="仿宋_GB2312"/>
          <w:color w:val="auto"/>
          <w:kern w:val="0"/>
          <w:sz w:val="32"/>
          <w:szCs w:val="32"/>
        </w:rPr>
        <w:t>。</w:t>
      </w:r>
    </w:p>
    <w:p>
      <w:pPr>
        <w:overflowPunct w:val="0"/>
        <w:autoSpaceDE w:val="0"/>
        <w:autoSpaceDN w:val="0"/>
        <w:spacing w:before="288" w:beforeLines="50" w:after="0" w:afterLines="0" w:line="560" w:lineRule="exact"/>
        <w:ind w:firstLine="0" w:firstLineChars="0"/>
        <w:jc w:val="center"/>
        <w:rPr>
          <w:rFonts w:ascii="黑体" w:hAnsi="黑体" w:eastAsia="黑体" w:cs="黑体"/>
          <w:sz w:val="32"/>
          <w:szCs w:val="32"/>
        </w:rPr>
      </w:pPr>
      <w:r>
        <w:rPr>
          <w:rFonts w:hint="eastAsia" w:ascii="黑体" w:hAnsi="黑体" w:eastAsia="黑体" w:cs="黑体"/>
          <w:sz w:val="32"/>
          <w:szCs w:val="32"/>
          <w:lang w:bidi="ar"/>
        </w:rPr>
        <w:t>第二章</w:t>
      </w:r>
      <w:r>
        <w:rPr>
          <w:rFonts w:hint="eastAsia" w:ascii="黑体" w:hAnsi="黑体" w:eastAsia="黑体"/>
          <w:sz w:val="32"/>
          <w:szCs w:val="32"/>
        </w:rPr>
        <w:t xml:space="preserve">  </w:t>
      </w:r>
      <w:r>
        <w:rPr>
          <w:rFonts w:hint="eastAsia" w:ascii="黑体" w:hAnsi="黑体" w:eastAsia="黑体" w:cs="黑体"/>
          <w:sz w:val="32"/>
          <w:szCs w:val="32"/>
        </w:rPr>
        <w:t>公共信用信息采集、录入和管理</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rPr>
      </w:pPr>
      <w:r>
        <w:rPr>
          <w:rFonts w:hint="eastAsia" w:ascii="黑体" w:hAnsi="黑体" w:eastAsia="黑体" w:cs="黑体"/>
          <w:kern w:val="0"/>
          <w:sz w:val="32"/>
          <w:szCs w:val="32"/>
          <w:lang w:bidi="ar"/>
        </w:rPr>
        <w:t>第五条</w:t>
      </w:r>
      <w:r>
        <w:rPr>
          <w:rFonts w:hint="eastAsia" w:ascii="仿宋_GB2312" w:hAnsi="仿宋_GB2312" w:eastAsia="仿宋_GB2312" w:cs="仿宋_GB2312"/>
          <w:kern w:val="0"/>
          <w:sz w:val="32"/>
          <w:szCs w:val="32"/>
        </w:rPr>
        <w:t xml:space="preserve">  检测单位公共信用信息包括基础信息、年度报告信息、质量考核信息、行政检查信息、行政处罚信息、信用承诺及其履行情况信息、专项报告信息、信用评价信息等。    </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（一）基础信息是指检测单位注册登记、分支机构、资质等级及变更延续等信息。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（二）年度报告信息是指检测单位依法履行年度报告义务的结论性信息。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（三）质量考核信息是指</w:t>
      </w:r>
      <w:r>
        <w:rPr>
          <w:rFonts w:hint="eastAsia" w:ascii="仿宋_GB2312" w:hAnsi="Calibri" w:eastAsia="仿宋_GB2312"/>
          <w:sz w:val="32"/>
          <w:szCs w:val="32"/>
        </w:rPr>
        <w:t>对检测单位已完成的雷电防护装置检测工作质量进行考核形成的</w:t>
      </w:r>
      <w:r>
        <w:rPr>
          <w:rFonts w:hint="eastAsia" w:ascii="仿宋_GB2312" w:hAnsi="黑体" w:eastAsia="仿宋_GB2312"/>
          <w:sz w:val="32"/>
          <w:szCs w:val="32"/>
        </w:rPr>
        <w:t>结论性</w:t>
      </w:r>
      <w:r>
        <w:rPr>
          <w:rFonts w:hint="eastAsia" w:ascii="仿宋_GB2312" w:hAnsi="Calibri" w:eastAsia="仿宋_GB2312"/>
          <w:sz w:val="32"/>
          <w:szCs w:val="32"/>
        </w:rPr>
        <w:t>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（四）行政检查信息是指气象主管机构及政府有关部门对检测单位开展监督检查形成的结论性信息。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（五）行政处罚信息是指检测单位受到的行政处罚种类、处罚结果、违法事实、处罚依据、处罚时间、作出行政处罚的部门等信息。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（六）信用承诺及其履行情况信息是指检测单位告知承诺的证明事项及其履行情况信息。</w:t>
      </w:r>
    </w:p>
    <w:p>
      <w:pPr>
        <w:overflowPunct w:val="0"/>
        <w:autoSpaceDE w:val="0"/>
        <w:autoSpaceDN w:val="0"/>
        <w:spacing w:beforeLines="0" w:afterLines="0" w:line="560" w:lineRule="exact"/>
        <w:ind w:firstLine="632" w:firstLineChars="200"/>
        <w:rPr>
          <w:rFonts w:ascii="仿宋_GB2312" w:hAnsi="黑体" w:eastAsia="仿宋_GB2312"/>
          <w:sz w:val="32"/>
          <w:szCs w:val="32"/>
        </w:rPr>
      </w:pPr>
      <w:r>
        <w:rPr>
          <w:rFonts w:hint="eastAsia" w:ascii="仿宋_GB2312" w:hAnsi="黑体" w:eastAsia="仿宋_GB2312"/>
          <w:sz w:val="32"/>
          <w:szCs w:val="32"/>
        </w:rPr>
        <w:t>（七）专项报告信息是指检测单位履行报告</w:t>
      </w:r>
      <w:r>
        <w:rPr>
          <w:rFonts w:hint="eastAsia" w:ascii="仿宋_GB2312" w:hAnsi="黑体" w:eastAsia="仿宋_GB2312"/>
          <w:sz w:val="32"/>
          <w:szCs w:val="32"/>
          <w:lang w:eastAsia="zh-CN"/>
        </w:rPr>
        <w:t>义务</w:t>
      </w:r>
      <w:r>
        <w:rPr>
          <w:rFonts w:hint="eastAsia" w:ascii="仿宋_GB2312" w:hAnsi="黑体" w:eastAsia="仿宋_GB2312"/>
          <w:sz w:val="32"/>
          <w:szCs w:val="32"/>
        </w:rPr>
        <w:t>的相关信息。</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rPr>
        <w:t>第六条</w:t>
      </w:r>
      <w:r>
        <w:rPr>
          <w:rFonts w:hint="eastAsia" w:ascii="仿宋_GB2312" w:hAnsi="仿宋_GB2312" w:eastAsia="仿宋_GB2312"/>
          <w:kern w:val="0"/>
          <w:sz w:val="32"/>
          <w:szCs w:val="32"/>
        </w:rPr>
        <w:t xml:space="preserve">  省气象主管机构负责</w:t>
      </w:r>
      <w:r>
        <w:rPr>
          <w:rFonts w:hint="eastAsia" w:ascii="仿宋_GB2312" w:hAnsi="黑体" w:eastAsia="仿宋_GB2312"/>
          <w:kern w:val="0"/>
          <w:sz w:val="32"/>
          <w:szCs w:val="32"/>
        </w:rPr>
        <w:t>检测单位</w:t>
      </w:r>
      <w:r>
        <w:rPr>
          <w:rFonts w:hint="eastAsia" w:ascii="仿宋_GB2312" w:hAnsi="仿宋_GB2312" w:eastAsia="仿宋_GB2312"/>
          <w:kern w:val="0"/>
          <w:sz w:val="32"/>
          <w:szCs w:val="32"/>
        </w:rPr>
        <w:t>的公共信用信息管理工作，负责本单位履行管理职能过程中产生的公共信用信息的采集、录入和管理。</w:t>
      </w:r>
    </w:p>
    <w:p>
      <w:pPr>
        <w:overflowPunct w:val="0"/>
        <w:autoSpaceDE w:val="0"/>
        <w:autoSpaceDN w:val="0"/>
        <w:spacing w:beforeLines="0" w:afterLines="0" w:line="560" w:lineRule="exact"/>
        <w:ind w:firstLine="632" w:firstLineChars="200"/>
        <w:rPr>
          <w:rFonts w:ascii="仿宋_GB2312" w:hAnsi="仿宋_GB2312" w:eastAsia="仿宋_GB2312" w:cs="仿宋_GB2312"/>
          <w:kern w:val="0"/>
          <w:sz w:val="32"/>
          <w:szCs w:val="32"/>
          <w:lang w:bidi="ar"/>
        </w:rPr>
      </w:pPr>
      <w:r>
        <w:rPr>
          <w:rFonts w:hint="eastAsia" w:ascii="仿宋_GB2312" w:hAnsi="仿宋_GB2312" w:eastAsia="仿宋_GB2312" w:cs="仿宋_GB2312"/>
          <w:kern w:val="0"/>
          <w:sz w:val="32"/>
          <w:szCs w:val="32"/>
          <w:lang w:bidi="ar"/>
        </w:rPr>
        <w:t>市、县级气象主管机构负责本单位履行管理职能过程中产生的公共信用信息的采集、录入和管理。</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lang w:bidi="ar"/>
        </w:rPr>
      </w:pPr>
      <w:r>
        <w:rPr>
          <w:rFonts w:hint="eastAsia" w:ascii="黑体" w:hAnsi="黑体" w:eastAsia="黑体" w:cs="黑体"/>
          <w:kern w:val="0"/>
          <w:sz w:val="32"/>
          <w:szCs w:val="32"/>
        </w:rPr>
        <w:t xml:space="preserve">第七条  </w:t>
      </w:r>
      <w:r>
        <w:rPr>
          <w:rFonts w:hint="eastAsia" w:ascii="仿宋_GB2312" w:hAnsi="仿宋_GB2312" w:eastAsia="仿宋_GB2312"/>
          <w:kern w:val="0"/>
          <w:sz w:val="32"/>
          <w:szCs w:val="32"/>
        </w:rPr>
        <w:t>县级以上</w:t>
      </w:r>
      <w:r>
        <w:rPr>
          <w:rFonts w:hint="eastAsia" w:ascii="仿宋_GB2312" w:hAnsi="仿宋_GB2312" w:eastAsia="仿宋_GB2312"/>
          <w:kern w:val="0"/>
          <w:sz w:val="32"/>
          <w:szCs w:val="20"/>
        </w:rPr>
        <w:t>气象主管机构应当及时将采集到的检测单位公共信用信息录入到</w:t>
      </w:r>
      <w:r>
        <w:rPr>
          <w:rFonts w:hint="eastAsia" w:ascii="仿宋_GB2312" w:hAnsi="仿宋_GB2312" w:eastAsia="仿宋_GB2312"/>
          <w:color w:val="auto"/>
          <w:kern w:val="0"/>
          <w:sz w:val="32"/>
          <w:szCs w:val="20"/>
          <w:highlight w:val="none"/>
        </w:rPr>
        <w:t>“全国防雷减灾综合管理服务平台”</w:t>
      </w:r>
      <w:r>
        <w:rPr>
          <w:rFonts w:hint="eastAsia" w:ascii="仿宋_GB2312" w:hAnsi="仿宋_GB2312" w:eastAsia="仿宋_GB2312"/>
          <w:kern w:val="0"/>
          <w:sz w:val="32"/>
          <w:szCs w:val="20"/>
        </w:rPr>
        <w:t>，推送至信用中国（福建）等平台，并对公共信用信息的真实性、完整性和准确性负责。</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rPr>
        <w:t xml:space="preserve">第八条  </w:t>
      </w:r>
      <w:r>
        <w:rPr>
          <w:rFonts w:hint="eastAsia" w:ascii="仿宋_GB2312" w:hAnsi="仿宋_GB2312" w:eastAsia="仿宋_GB2312"/>
          <w:kern w:val="0"/>
          <w:sz w:val="32"/>
          <w:szCs w:val="32"/>
        </w:rPr>
        <w:t>市、县级气象主管机构应当将本行政区域内的检测单位公共信用信息及时报送至省气象主管机构。省气象主管机构应当汇总检测单位公共信用信息，建立检测单位公共信用信息档案。</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rPr>
      </w:pPr>
      <w:r>
        <w:rPr>
          <w:rFonts w:hint="eastAsia" w:ascii="黑体" w:hAnsi="黑体" w:eastAsia="黑体" w:cs="黑体"/>
          <w:kern w:val="0"/>
          <w:sz w:val="32"/>
          <w:szCs w:val="32"/>
        </w:rPr>
        <w:t xml:space="preserve">第九条  </w:t>
      </w:r>
      <w:r>
        <w:rPr>
          <w:rFonts w:hint="eastAsia" w:ascii="仿宋_GB2312" w:hAnsi="仿宋_GB2312" w:eastAsia="仿宋_GB2312" w:cs="仿宋_GB2312"/>
          <w:kern w:val="0"/>
          <w:sz w:val="32"/>
          <w:szCs w:val="32"/>
        </w:rPr>
        <w:t>各级气象主管机构应当加强对检测单位公共信用信息的管理，保证信息安全。</w:t>
      </w:r>
    </w:p>
    <w:p>
      <w:pPr>
        <w:overflowPunct w:val="0"/>
        <w:autoSpaceDE w:val="0"/>
        <w:autoSpaceDN w:val="0"/>
        <w:spacing w:before="288" w:beforeLines="50" w:after="0" w:afterLines="0" w:line="560" w:lineRule="exact"/>
        <w:ind w:firstLine="0" w:firstLineChars="0"/>
        <w:jc w:val="center"/>
        <w:rPr>
          <w:rFonts w:hint="eastAsia" w:ascii="黑体" w:hAnsi="黑体" w:eastAsia="黑体" w:cs="黑体"/>
          <w:sz w:val="32"/>
          <w:szCs w:val="32"/>
          <w:lang w:bidi="ar"/>
        </w:rPr>
      </w:pPr>
      <w:r>
        <w:rPr>
          <w:rFonts w:hint="eastAsia" w:ascii="黑体" w:hAnsi="黑体" w:eastAsia="黑体" w:cs="黑体"/>
          <w:sz w:val="32"/>
          <w:szCs w:val="32"/>
          <w:lang w:bidi="ar"/>
        </w:rPr>
        <w:t>第三章  信用评价</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rPr>
      </w:pPr>
      <w:r>
        <w:rPr>
          <w:rFonts w:hint="eastAsia" w:ascii="黑体" w:hAnsi="黑体" w:eastAsia="黑体" w:cs="黑体"/>
          <w:kern w:val="0"/>
          <w:sz w:val="32"/>
          <w:szCs w:val="32"/>
        </w:rPr>
        <w:t xml:space="preserve">第十条  </w:t>
      </w:r>
      <w:r>
        <w:rPr>
          <w:rFonts w:hint="eastAsia" w:ascii="仿宋_GB2312" w:hAnsi="仿宋_GB2312" w:eastAsia="仿宋_GB2312" w:cs="仿宋_GB2312"/>
          <w:kern w:val="0"/>
          <w:sz w:val="32"/>
          <w:szCs w:val="32"/>
        </w:rPr>
        <w:t>省气象主管机构根据《福建省雷电防护装置检测单位信用评价评分标准》（附件1），对检测单位开展信用评价。</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rPr>
        <w:t>第十一条</w:t>
      </w:r>
      <w:r>
        <w:rPr>
          <w:rFonts w:hint="eastAsia" w:ascii="仿宋_GB2312" w:hAnsi="仿宋_GB2312" w:eastAsia="仿宋_GB2312" w:cs="仿宋_GB2312"/>
          <w:kern w:val="0"/>
          <w:sz w:val="32"/>
          <w:szCs w:val="32"/>
        </w:rPr>
        <w:t xml:space="preserve">  </w:t>
      </w:r>
      <w:r>
        <w:rPr>
          <w:rFonts w:hint="eastAsia" w:ascii="仿宋_GB2312" w:hAnsi="仿宋_GB2312" w:eastAsia="仿宋_GB2312"/>
          <w:kern w:val="0"/>
          <w:sz w:val="32"/>
          <w:szCs w:val="32"/>
        </w:rPr>
        <w:t>检测单位信用评价每年组织一次，由</w:t>
      </w:r>
      <w:r>
        <w:rPr>
          <w:rFonts w:ascii="仿宋_GB2312" w:hAnsi="仿宋_GB2312" w:eastAsia="仿宋_GB2312"/>
          <w:kern w:val="0"/>
          <w:sz w:val="32"/>
          <w:szCs w:val="32"/>
        </w:rPr>
        <w:t>省气象</w:t>
      </w:r>
      <w:r>
        <w:rPr>
          <w:rFonts w:hint="eastAsia" w:ascii="仿宋_GB2312" w:hAnsi="仿宋_GB2312" w:eastAsia="仿宋_GB2312"/>
          <w:kern w:val="0"/>
          <w:sz w:val="32"/>
          <w:szCs w:val="32"/>
        </w:rPr>
        <w:t>主管</w:t>
      </w:r>
      <w:r>
        <w:rPr>
          <w:rFonts w:ascii="仿宋_GB2312" w:hAnsi="仿宋_GB2312" w:eastAsia="仿宋_GB2312"/>
          <w:kern w:val="0"/>
          <w:sz w:val="32"/>
          <w:szCs w:val="32"/>
        </w:rPr>
        <w:t>机构委托的机构</w:t>
      </w:r>
      <w:r>
        <w:rPr>
          <w:rFonts w:hint="eastAsia" w:ascii="仿宋_GB2312" w:hAnsi="仿宋_GB2312" w:eastAsia="仿宋_GB2312"/>
          <w:kern w:val="0"/>
          <w:sz w:val="32"/>
          <w:szCs w:val="32"/>
        </w:rPr>
        <w:t>在当年10月底前对检测单</w:t>
      </w:r>
      <w:r>
        <w:rPr>
          <w:rFonts w:hint="eastAsia" w:ascii="仿宋_GB2312" w:hAnsi="仿宋_GB2312" w:eastAsia="仿宋_GB2312" w:cs="仿宋_GB2312"/>
          <w:kern w:val="0"/>
          <w:sz w:val="32"/>
          <w:szCs w:val="32"/>
        </w:rPr>
        <w:t>位</w:t>
      </w:r>
      <w:r>
        <w:rPr>
          <w:rFonts w:hint="eastAsia" w:ascii="仿宋_GB2312" w:hAnsi="仿宋_GB2312" w:eastAsia="仿宋_GB2312"/>
          <w:kern w:val="0"/>
          <w:sz w:val="32"/>
          <w:szCs w:val="32"/>
        </w:rPr>
        <w:t>上一年度的信用进行评定。</w:t>
      </w:r>
      <w:r>
        <w:rPr>
          <w:rFonts w:hint="eastAsia" w:ascii="仿宋_GB2312" w:hAnsi="仿宋_GB2312" w:eastAsia="仿宋_GB2312" w:cs="仿宋_GB2312"/>
          <w:kern w:val="0"/>
          <w:sz w:val="32"/>
          <w:szCs w:val="32"/>
        </w:rPr>
        <w:t>检测单位</w:t>
      </w:r>
      <w:r>
        <w:rPr>
          <w:rFonts w:hint="eastAsia" w:ascii="仿宋_GB2312" w:hAnsi="仿宋_GB2312" w:eastAsia="仿宋_GB2312"/>
          <w:kern w:val="0"/>
          <w:sz w:val="32"/>
          <w:szCs w:val="32"/>
        </w:rPr>
        <w:t>信用等级在下年度</w:t>
      </w:r>
      <w:r>
        <w:rPr>
          <w:rFonts w:hint="eastAsia" w:ascii="仿宋_GB2312" w:hAnsi="仿宋_GB2312" w:eastAsia="仿宋_GB2312" w:cs="仿宋_GB2312"/>
          <w:kern w:val="0"/>
          <w:sz w:val="32"/>
          <w:szCs w:val="32"/>
        </w:rPr>
        <w:t>信用评价</w:t>
      </w:r>
      <w:r>
        <w:rPr>
          <w:rFonts w:hint="eastAsia" w:ascii="仿宋_GB2312" w:hAnsi="仿宋_GB2312" w:eastAsia="仿宋_GB2312"/>
          <w:kern w:val="0"/>
          <w:sz w:val="32"/>
          <w:szCs w:val="32"/>
        </w:rPr>
        <w:t>结果公布前有效。</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rPr>
      </w:pPr>
      <w:r>
        <w:rPr>
          <w:rFonts w:hint="eastAsia" w:ascii="黑体" w:hAnsi="黑体" w:eastAsia="黑体" w:cs="黑体"/>
          <w:kern w:val="0"/>
          <w:sz w:val="32"/>
          <w:szCs w:val="32"/>
        </w:rPr>
        <w:t xml:space="preserve">第十二条  </w:t>
      </w:r>
      <w:r>
        <w:rPr>
          <w:rFonts w:hint="eastAsia" w:ascii="仿宋_GB2312" w:hAnsi="仿宋_GB2312" w:eastAsia="仿宋_GB2312" w:cs="仿宋_GB2312"/>
          <w:kern w:val="0"/>
          <w:sz w:val="32"/>
          <w:szCs w:val="32"/>
        </w:rPr>
        <w:t>信用评价结果由高到低分为AAA、AA、A、B、C五个等级，评价得分在90分以上（含90分）评定等级为AAA级，80分-89分（含80分、89分）评定</w:t>
      </w:r>
      <w:r>
        <w:rPr>
          <w:rFonts w:hint="eastAsia" w:ascii="仿宋_GB2312" w:hAnsi="仿宋_GB2312" w:eastAsia="仿宋_GB2312"/>
          <w:kern w:val="0"/>
          <w:sz w:val="32"/>
          <w:szCs w:val="32"/>
        </w:rPr>
        <w:t>等级</w:t>
      </w:r>
      <w:r>
        <w:rPr>
          <w:rFonts w:hint="eastAsia" w:ascii="仿宋_GB2312" w:hAnsi="仿宋_GB2312" w:eastAsia="仿宋_GB2312" w:cs="仿宋_GB2312"/>
          <w:kern w:val="0"/>
          <w:sz w:val="32"/>
          <w:szCs w:val="32"/>
        </w:rPr>
        <w:t>为AA级，70分-79分（含70分、79分）评定</w:t>
      </w:r>
      <w:r>
        <w:rPr>
          <w:rFonts w:hint="eastAsia" w:ascii="仿宋_GB2312" w:hAnsi="仿宋_GB2312" w:eastAsia="仿宋_GB2312"/>
          <w:kern w:val="0"/>
          <w:sz w:val="32"/>
          <w:szCs w:val="32"/>
        </w:rPr>
        <w:t>等级</w:t>
      </w:r>
      <w:r>
        <w:rPr>
          <w:rFonts w:hint="eastAsia" w:ascii="仿宋_GB2312" w:hAnsi="仿宋_GB2312" w:eastAsia="仿宋_GB2312" w:cs="仿宋_GB2312"/>
          <w:kern w:val="0"/>
          <w:sz w:val="32"/>
          <w:szCs w:val="32"/>
        </w:rPr>
        <w:t>为A级，60分-69分（含60分、69分）评定</w:t>
      </w:r>
      <w:r>
        <w:rPr>
          <w:rFonts w:hint="eastAsia" w:ascii="仿宋_GB2312" w:hAnsi="仿宋_GB2312" w:eastAsia="仿宋_GB2312"/>
          <w:kern w:val="0"/>
          <w:sz w:val="32"/>
          <w:szCs w:val="32"/>
        </w:rPr>
        <w:t>等级</w:t>
      </w:r>
      <w:r>
        <w:rPr>
          <w:rFonts w:hint="eastAsia" w:ascii="仿宋_GB2312" w:hAnsi="仿宋_GB2312" w:eastAsia="仿宋_GB2312" w:cs="仿宋_GB2312"/>
          <w:kern w:val="0"/>
          <w:sz w:val="32"/>
          <w:szCs w:val="32"/>
        </w:rPr>
        <w:t>为B级，60分以下（不含60分）评定等级为C级。</w:t>
      </w:r>
    </w:p>
    <w:p>
      <w:pPr>
        <w:overflowPunct w:val="0"/>
        <w:autoSpaceDE w:val="0"/>
        <w:autoSpaceDN w:val="0"/>
        <w:spacing w:before="288" w:beforeLines="50" w:after="0" w:afterLines="0" w:line="560" w:lineRule="exact"/>
        <w:ind w:firstLine="0" w:firstLineChars="0"/>
        <w:jc w:val="center"/>
        <w:rPr>
          <w:rFonts w:hint="eastAsia" w:ascii="黑体" w:hAnsi="黑体" w:eastAsia="黑体" w:cs="黑体"/>
          <w:sz w:val="32"/>
          <w:szCs w:val="32"/>
          <w:lang w:bidi="ar"/>
        </w:rPr>
      </w:pPr>
      <w:r>
        <w:rPr>
          <w:rFonts w:hint="eastAsia" w:ascii="黑体" w:hAnsi="黑体" w:eastAsia="黑体" w:cs="黑体"/>
          <w:sz w:val="32"/>
          <w:szCs w:val="32"/>
          <w:lang w:bidi="ar"/>
        </w:rPr>
        <w:t>第四章  公共信用信息公开</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lang w:bidi="ar"/>
        </w:rPr>
      </w:pPr>
      <w:r>
        <w:rPr>
          <w:rFonts w:hint="eastAsia" w:ascii="黑体" w:hAnsi="黑体" w:eastAsia="黑体" w:cs="黑体"/>
          <w:kern w:val="0"/>
          <w:sz w:val="32"/>
          <w:szCs w:val="32"/>
          <w:lang w:bidi="ar"/>
        </w:rPr>
        <w:t>第十三条</w:t>
      </w:r>
      <w:r>
        <w:rPr>
          <w:rFonts w:hint="eastAsia" w:ascii="仿宋_GB2312" w:hAnsi="仿宋_GB2312" w:eastAsia="仿宋_GB2312" w:cs="仿宋_GB2312"/>
          <w:kern w:val="0"/>
          <w:sz w:val="32"/>
          <w:szCs w:val="32"/>
          <w:lang w:bidi="ar"/>
        </w:rPr>
        <w:t xml:space="preserve">  省气象主管机构通过福建省气象局官方网站向社会公开</w:t>
      </w:r>
      <w:r>
        <w:rPr>
          <w:rFonts w:hint="eastAsia" w:ascii="仿宋_GB2312" w:hAnsi="黑体" w:eastAsia="仿宋_GB2312"/>
          <w:kern w:val="0"/>
          <w:sz w:val="32"/>
          <w:szCs w:val="32"/>
        </w:rPr>
        <w:t>检测单位的</w:t>
      </w:r>
      <w:r>
        <w:rPr>
          <w:rFonts w:hint="eastAsia" w:ascii="仿宋_GB2312" w:hAnsi="仿宋_GB2312" w:eastAsia="仿宋_GB2312"/>
          <w:kern w:val="0"/>
          <w:sz w:val="32"/>
          <w:szCs w:val="32"/>
        </w:rPr>
        <w:t>公共信用信息（附件2）</w:t>
      </w:r>
      <w:r>
        <w:rPr>
          <w:rFonts w:hint="eastAsia" w:ascii="仿宋_GB2312" w:hAnsi="仿宋_GB2312" w:eastAsia="仿宋_GB2312" w:cs="仿宋_GB2312"/>
          <w:kern w:val="0"/>
          <w:sz w:val="32"/>
          <w:szCs w:val="32"/>
          <w:lang w:bidi="ar"/>
        </w:rPr>
        <w:t>，</w:t>
      </w:r>
      <w:r>
        <w:rPr>
          <w:rFonts w:hint="eastAsia" w:ascii="仿宋_GB2312" w:hAnsi="仿宋_GB2312" w:eastAsia="仿宋_GB2312"/>
          <w:kern w:val="0"/>
          <w:sz w:val="32"/>
          <w:szCs w:val="32"/>
        </w:rPr>
        <w:t>公开期限为：</w:t>
      </w:r>
    </w:p>
    <w:p>
      <w:pPr>
        <w:overflowPunct w:val="0"/>
        <w:autoSpaceDE w:val="0"/>
        <w:autoSpaceDN w:val="0"/>
        <w:spacing w:beforeLines="0" w:afterLines="0" w:line="560" w:lineRule="exact"/>
        <w:ind w:firstLine="632" w:firstLineChars="200"/>
        <w:rPr>
          <w:rFonts w:ascii="仿宋_GB2312" w:hAnsi="仿宋_GB2312" w:eastAsia="仿宋_GB2312"/>
          <w:sz w:val="32"/>
          <w:szCs w:val="32"/>
        </w:rPr>
      </w:pPr>
      <w:r>
        <w:rPr>
          <w:rFonts w:hint="eastAsia" w:ascii="仿宋_GB2312" w:hAnsi="仿宋_GB2312" w:eastAsia="仿宋_GB2312"/>
          <w:sz w:val="32"/>
          <w:szCs w:val="32"/>
        </w:rPr>
        <w:t>（一）基础信息长期公开；</w:t>
      </w:r>
    </w:p>
    <w:p>
      <w:pPr>
        <w:overflowPunct w:val="0"/>
        <w:autoSpaceDE w:val="0"/>
        <w:autoSpaceDN w:val="0"/>
        <w:spacing w:beforeLines="0" w:afterLines="0" w:line="560" w:lineRule="exact"/>
        <w:ind w:firstLine="632" w:firstLineChars="200"/>
        <w:rPr>
          <w:rFonts w:ascii="仿宋_GB2312" w:hAnsi="仿宋_GB2312" w:eastAsia="仿宋_GB2312"/>
          <w:sz w:val="32"/>
          <w:szCs w:val="32"/>
        </w:rPr>
      </w:pPr>
      <w:r>
        <w:rPr>
          <w:rFonts w:hint="eastAsia" w:ascii="仿宋_GB2312" w:hAnsi="仿宋_GB2312" w:eastAsia="仿宋_GB2312"/>
          <w:sz w:val="32"/>
          <w:szCs w:val="32"/>
        </w:rPr>
        <w:t>（二）年度报告、质量考核信息、行政检查信息、行政处罚信息、信用承诺及其履行情况信息、专项报告信息、</w:t>
      </w:r>
      <w:r>
        <w:rPr>
          <w:rFonts w:hint="eastAsia" w:ascii="仿宋_GB2312" w:hAnsi="仿宋_GB2312" w:eastAsia="仿宋_GB2312"/>
          <w:sz w:val="32"/>
          <w:szCs w:val="32"/>
          <w:highlight w:val="none"/>
        </w:rPr>
        <w:t>信用评价信息</w:t>
      </w:r>
      <w:r>
        <w:rPr>
          <w:rFonts w:hint="eastAsia" w:ascii="仿宋_GB2312" w:hAnsi="仿宋_GB2312" w:eastAsia="仿宋_GB2312"/>
          <w:sz w:val="32"/>
          <w:szCs w:val="32"/>
        </w:rPr>
        <w:t>公开期限一般不少于一年、不超过三年；</w:t>
      </w:r>
    </w:p>
    <w:p>
      <w:pPr>
        <w:overflowPunct w:val="0"/>
        <w:autoSpaceDE w:val="0"/>
        <w:autoSpaceDN w:val="0"/>
        <w:spacing w:beforeLines="0" w:afterLines="0" w:line="560" w:lineRule="exact"/>
        <w:ind w:firstLine="632" w:firstLineChars="200"/>
        <w:rPr>
          <w:rFonts w:ascii="仿宋_GB2312" w:hAnsi="仿宋_GB2312" w:eastAsia="仿宋_GB2312"/>
          <w:sz w:val="32"/>
          <w:szCs w:val="20"/>
        </w:rPr>
      </w:pPr>
      <w:r>
        <w:rPr>
          <w:rFonts w:hint="eastAsia" w:ascii="仿宋_GB2312" w:hAnsi="仿宋_GB2312" w:eastAsia="仿宋_GB2312"/>
          <w:sz w:val="32"/>
          <w:szCs w:val="20"/>
        </w:rPr>
        <w:t>（三）在国家和地方其他平台公开的公共信用信息，对公开期限有明确规定的，按照相关规定执行。</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lang w:bidi="ar"/>
        </w:rPr>
        <w:t xml:space="preserve">第十四条  </w:t>
      </w:r>
      <w:r>
        <w:rPr>
          <w:rFonts w:hint="eastAsia" w:ascii="仿宋_GB2312" w:hAnsi="仿宋_GB2312" w:eastAsia="仿宋_GB2312"/>
          <w:kern w:val="0"/>
          <w:sz w:val="32"/>
          <w:szCs w:val="32"/>
        </w:rPr>
        <w:t>各级气象主管机构应当根据国家和本行政区域内公共信用信息体系建设的相关规定，通过有关公共信用信息共享平台与相关部门实现部门信息共享。</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省气象主管机构应当及时将省外检测单位的信用信息通过信息共享推送给颁发资质的省级气象主管机构。</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lang w:bidi="ar"/>
        </w:rPr>
        <w:t>第十五条</w:t>
      </w:r>
      <w:r>
        <w:rPr>
          <w:rFonts w:hint="eastAsia" w:ascii="仿宋_GB2312" w:hAnsi="仿宋_GB2312" w:eastAsia="仿宋_GB2312"/>
          <w:kern w:val="0"/>
          <w:sz w:val="32"/>
          <w:szCs w:val="32"/>
        </w:rPr>
        <w:t xml:space="preserve">  各级气象主管机构向公开平台报送检测单位行政处罚等失信信用信息的，应当同时告知检测单位。法律、法规另有规定的除外。</w:t>
      </w:r>
    </w:p>
    <w:p>
      <w:pPr>
        <w:overflowPunct w:val="0"/>
        <w:autoSpaceDE w:val="0"/>
        <w:autoSpaceDN w:val="0"/>
        <w:spacing w:before="288" w:beforeLines="50" w:after="0" w:afterLines="0" w:line="560" w:lineRule="exact"/>
        <w:ind w:firstLine="0" w:firstLineChars="0"/>
        <w:jc w:val="center"/>
        <w:rPr>
          <w:rFonts w:hint="eastAsia" w:ascii="黑体" w:hAnsi="黑体" w:eastAsia="黑体" w:cs="黑体"/>
          <w:sz w:val="32"/>
          <w:szCs w:val="32"/>
          <w:lang w:bidi="ar"/>
        </w:rPr>
      </w:pPr>
      <w:r>
        <w:rPr>
          <w:rFonts w:hint="eastAsia" w:ascii="黑体" w:hAnsi="黑体" w:eastAsia="黑体" w:cs="黑体"/>
          <w:sz w:val="32"/>
          <w:szCs w:val="32"/>
          <w:lang w:bidi="ar"/>
        </w:rPr>
        <w:t>第五章  公共信用信息异议申诉和修复</w:t>
      </w:r>
    </w:p>
    <w:p>
      <w:pPr>
        <w:overflowPunct w:val="0"/>
        <w:autoSpaceDE w:val="0"/>
        <w:autoSpaceDN w:val="0"/>
        <w:spacing w:beforeLines="0" w:afterLines="0" w:line="560" w:lineRule="exact"/>
        <w:ind w:firstLine="632" w:firstLineChars="200"/>
        <w:outlineLvl w:val="9"/>
        <w:rPr>
          <w:rFonts w:ascii="仿宋_GB2312" w:hAnsi="仿宋_GB2312" w:eastAsia="仿宋_GB2312"/>
          <w:sz w:val="32"/>
          <w:szCs w:val="32"/>
        </w:rPr>
      </w:pPr>
      <w:r>
        <w:rPr>
          <w:rFonts w:hint="eastAsia" w:ascii="黑体" w:hAnsi="黑体" w:eastAsia="黑体" w:cs="黑体"/>
          <w:kern w:val="0"/>
          <w:sz w:val="32"/>
          <w:szCs w:val="32"/>
          <w:lang w:bidi="ar"/>
        </w:rPr>
        <w:t xml:space="preserve">第十六条  </w:t>
      </w:r>
      <w:r>
        <w:rPr>
          <w:rFonts w:hint="eastAsia" w:ascii="仿宋_GB2312" w:hAnsi="仿宋_GB2312" w:eastAsia="仿宋_GB2312" w:cs="仿宋_GB2312"/>
          <w:kern w:val="0"/>
          <w:sz w:val="32"/>
          <w:szCs w:val="32"/>
        </w:rPr>
        <w:t>省气象主管机构负责检测单位对公共信用信息异议申诉的受理与复核。</w:t>
      </w:r>
    </w:p>
    <w:p>
      <w:pPr>
        <w:overflowPunct w:val="0"/>
        <w:autoSpaceDE w:val="0"/>
        <w:autoSpaceDN w:val="0"/>
        <w:spacing w:beforeLines="0" w:afterLines="0" w:line="560" w:lineRule="exact"/>
        <w:ind w:firstLine="632" w:firstLineChars="200"/>
        <w:outlineLvl w:val="9"/>
        <w:rPr>
          <w:rFonts w:ascii="仿宋_GB2312" w:hAnsi="仿宋_GB2312" w:eastAsia="仿宋_GB2312" w:cs="仿宋_GB2312"/>
          <w:kern w:val="0"/>
          <w:sz w:val="32"/>
          <w:szCs w:val="32"/>
          <w:lang w:bidi="ar"/>
        </w:rPr>
      </w:pPr>
      <w:r>
        <w:rPr>
          <w:rFonts w:hint="eastAsia" w:ascii="黑体" w:hAnsi="黑体" w:eastAsia="黑体" w:cs="黑体"/>
          <w:kern w:val="0"/>
          <w:sz w:val="32"/>
          <w:szCs w:val="32"/>
          <w:lang w:bidi="ar"/>
        </w:rPr>
        <w:t>第十七条</w:t>
      </w:r>
      <w:r>
        <w:rPr>
          <w:rFonts w:hint="eastAsia" w:ascii="仿宋_GB2312" w:hAnsi="仿宋_GB2312" w:eastAsia="仿宋_GB2312" w:cs="仿宋_GB2312"/>
          <w:kern w:val="0"/>
          <w:sz w:val="32"/>
          <w:szCs w:val="32"/>
          <w:lang w:bidi="ar"/>
        </w:rPr>
        <w:t xml:space="preserve">  检测单位对公共信用信息有以下异议的，可向</w:t>
      </w:r>
      <w:r>
        <w:rPr>
          <w:rFonts w:hint="eastAsia" w:ascii="仿宋_GB2312" w:hAnsi="仿宋_GB2312" w:eastAsia="仿宋_GB2312" w:cs="仿宋_GB2312"/>
          <w:kern w:val="0"/>
          <w:sz w:val="32"/>
          <w:szCs w:val="32"/>
        </w:rPr>
        <w:t>省气象主管机构</w:t>
      </w:r>
      <w:r>
        <w:rPr>
          <w:rFonts w:hint="eastAsia" w:ascii="仿宋_GB2312" w:hAnsi="仿宋_GB2312" w:eastAsia="仿宋_GB2312" w:cs="仿宋_GB2312"/>
          <w:kern w:val="0"/>
          <w:sz w:val="32"/>
          <w:szCs w:val="32"/>
          <w:lang w:bidi="ar"/>
        </w:rPr>
        <w:t>提出异议申诉：</w:t>
      </w:r>
    </w:p>
    <w:p>
      <w:pPr>
        <w:overflowPunct w:val="0"/>
        <w:autoSpaceDE w:val="0"/>
        <w:autoSpaceDN w:val="0"/>
        <w:spacing w:beforeLines="0" w:afterLines="0" w:line="560" w:lineRule="exact"/>
        <w:ind w:firstLine="632" w:firstLineChars="200"/>
        <w:rPr>
          <w:rFonts w:ascii="仿宋_GB2312" w:hAnsi="仿宋_GB2312" w:eastAsia="仿宋_GB2312"/>
          <w:sz w:val="32"/>
          <w:szCs w:val="32"/>
        </w:rPr>
      </w:pPr>
      <w:r>
        <w:rPr>
          <w:rFonts w:hint="eastAsia" w:ascii="仿宋_GB2312" w:hAnsi="仿宋_GB2312" w:eastAsia="仿宋_GB2312"/>
          <w:sz w:val="32"/>
          <w:szCs w:val="32"/>
        </w:rPr>
        <w:t>（一）认为公开的信息与事实不符的；</w:t>
      </w:r>
    </w:p>
    <w:p>
      <w:pPr>
        <w:overflowPunct w:val="0"/>
        <w:autoSpaceDE w:val="0"/>
        <w:autoSpaceDN w:val="0"/>
        <w:spacing w:beforeLines="0" w:afterLines="0" w:line="560" w:lineRule="exact"/>
        <w:ind w:firstLine="632" w:firstLineChars="200"/>
        <w:rPr>
          <w:rFonts w:ascii="仿宋_GB2312" w:hAnsi="仿宋_GB2312" w:eastAsia="仿宋_GB2312"/>
          <w:sz w:val="32"/>
          <w:szCs w:val="32"/>
        </w:rPr>
      </w:pPr>
      <w:r>
        <w:rPr>
          <w:rFonts w:hint="eastAsia" w:ascii="仿宋_GB2312" w:hAnsi="仿宋_GB2312" w:eastAsia="仿宋_GB2312"/>
          <w:sz w:val="32"/>
          <w:szCs w:val="32"/>
        </w:rPr>
        <w:t>（二）认为公开的信息涉及商业秘密和法定代表人个人隐私，损害检测单位及其法定代表人合法权益的；</w:t>
      </w:r>
    </w:p>
    <w:p>
      <w:pPr>
        <w:overflowPunct w:val="0"/>
        <w:autoSpaceDE w:val="0"/>
        <w:autoSpaceDN w:val="0"/>
        <w:spacing w:beforeLines="0" w:afterLines="0" w:line="560" w:lineRule="exact"/>
        <w:ind w:firstLine="632" w:firstLineChars="200"/>
        <w:rPr>
          <w:rFonts w:ascii="仿宋_GB2312" w:hAnsi="仿宋_GB2312" w:eastAsia="仿宋_GB2312"/>
          <w:sz w:val="32"/>
          <w:szCs w:val="32"/>
        </w:rPr>
      </w:pPr>
      <w:r>
        <w:rPr>
          <w:rFonts w:hint="eastAsia" w:ascii="仿宋_GB2312" w:hAnsi="仿宋_GB2312" w:eastAsia="仿宋_GB2312"/>
          <w:sz w:val="32"/>
          <w:szCs w:val="32"/>
        </w:rPr>
        <w:t>（三）认为公开的信息违反国家法律法规规定的；</w:t>
      </w:r>
    </w:p>
    <w:p>
      <w:pPr>
        <w:overflowPunct w:val="0"/>
        <w:autoSpaceDE w:val="0"/>
        <w:autoSpaceDN w:val="0"/>
        <w:spacing w:beforeLines="0" w:afterLines="0" w:line="560" w:lineRule="exact"/>
        <w:ind w:firstLine="632" w:firstLineChars="200"/>
        <w:rPr>
          <w:rFonts w:ascii="仿宋_GB2312" w:hAnsi="仿宋_GB2312" w:eastAsia="仿宋_GB2312"/>
          <w:sz w:val="32"/>
          <w:szCs w:val="32"/>
          <w:highlight w:val="none"/>
        </w:rPr>
      </w:pPr>
      <w:r>
        <w:rPr>
          <w:rFonts w:hint="eastAsia" w:ascii="仿宋_GB2312" w:hAnsi="仿宋_GB2312" w:eastAsia="仿宋_GB2312"/>
          <w:sz w:val="32"/>
          <w:szCs w:val="32"/>
        </w:rPr>
        <w:t>（四）</w:t>
      </w:r>
      <w:r>
        <w:rPr>
          <w:rFonts w:hint="eastAsia" w:ascii="仿宋_GB2312" w:hAnsi="仿宋_GB2312" w:eastAsia="仿宋_GB2312"/>
          <w:sz w:val="32"/>
          <w:szCs w:val="32"/>
          <w:highlight w:val="none"/>
        </w:rPr>
        <w:t>认为公开的信息已</w:t>
      </w:r>
      <w:r>
        <w:rPr>
          <w:rFonts w:hint="eastAsia" w:ascii="仿宋_GB2312" w:hAnsi="仿宋_GB2312" w:eastAsia="仿宋_GB2312"/>
          <w:sz w:val="32"/>
          <w:szCs w:val="32"/>
          <w:highlight w:val="none"/>
          <w:lang w:eastAsia="zh-CN"/>
        </w:rPr>
        <w:t>届</w:t>
      </w:r>
      <w:r>
        <w:rPr>
          <w:rFonts w:hint="eastAsia" w:ascii="仿宋_GB2312" w:hAnsi="仿宋_GB2312" w:eastAsia="仿宋_GB2312"/>
          <w:sz w:val="32"/>
          <w:szCs w:val="32"/>
          <w:highlight w:val="none"/>
        </w:rPr>
        <w:t>满规定期限的。</w:t>
      </w:r>
    </w:p>
    <w:p>
      <w:pPr>
        <w:overflowPunct w:val="0"/>
        <w:autoSpaceDE w:val="0"/>
        <w:autoSpaceDN w:val="0"/>
        <w:spacing w:beforeLines="0" w:afterLines="0" w:line="560" w:lineRule="exact"/>
        <w:ind w:firstLine="632" w:firstLineChars="200"/>
        <w:outlineLvl w:val="9"/>
        <w:rPr>
          <w:rFonts w:ascii="仿宋_GB2312" w:hAnsi="仿宋_GB2312" w:eastAsia="仿宋_GB2312"/>
          <w:sz w:val="32"/>
          <w:szCs w:val="32"/>
        </w:rPr>
      </w:pPr>
      <w:r>
        <w:rPr>
          <w:rFonts w:hint="eastAsia" w:ascii="黑体" w:hAnsi="黑体" w:eastAsia="黑体" w:cs="黑体"/>
          <w:kern w:val="0"/>
          <w:sz w:val="32"/>
          <w:szCs w:val="32"/>
          <w:lang w:bidi="ar"/>
        </w:rPr>
        <w:t xml:space="preserve">第十八条  </w:t>
      </w:r>
      <w:r>
        <w:rPr>
          <w:rFonts w:hint="eastAsia" w:ascii="仿宋_GB2312" w:hAnsi="仿宋_GB2312" w:eastAsia="仿宋_GB2312" w:cs="仿宋_GB2312"/>
          <w:kern w:val="0"/>
          <w:sz w:val="32"/>
          <w:szCs w:val="32"/>
          <w:lang w:bidi="ar"/>
        </w:rPr>
        <w:t>检测单位提出异议申诉时，</w:t>
      </w:r>
      <w:r>
        <w:rPr>
          <w:rFonts w:hint="eastAsia" w:ascii="仿宋_GB2312" w:hAnsi="仿宋_GB2312" w:eastAsia="仿宋_GB2312"/>
          <w:kern w:val="0"/>
          <w:sz w:val="32"/>
          <w:szCs w:val="32"/>
        </w:rPr>
        <w:t>应当提交书面</w:t>
      </w:r>
      <w:r>
        <w:rPr>
          <w:rFonts w:hint="eastAsia" w:ascii="仿宋_GB2312" w:hAnsi="仿宋_GB2312" w:eastAsia="仿宋_GB2312" w:cs="仿宋_GB2312"/>
          <w:kern w:val="0"/>
          <w:sz w:val="32"/>
          <w:szCs w:val="32"/>
        </w:rPr>
        <w:t>公共信用信息</w:t>
      </w:r>
      <w:r>
        <w:rPr>
          <w:rFonts w:hint="eastAsia" w:ascii="仿宋_GB2312" w:hAnsi="仿宋_GB2312" w:eastAsia="仿宋_GB2312" w:cs="仿宋_GB2312"/>
          <w:kern w:val="0"/>
          <w:sz w:val="32"/>
          <w:szCs w:val="32"/>
          <w:lang w:bidi="ar"/>
        </w:rPr>
        <w:t>异议申诉表</w:t>
      </w:r>
      <w:r>
        <w:rPr>
          <w:rFonts w:hint="eastAsia" w:ascii="仿宋_GB2312" w:hAnsi="仿宋_GB2312" w:eastAsia="仿宋_GB2312"/>
          <w:kern w:val="0"/>
          <w:sz w:val="32"/>
          <w:szCs w:val="32"/>
        </w:rPr>
        <w:t>和异议信息相关</w:t>
      </w:r>
      <w:r>
        <w:rPr>
          <w:rFonts w:hint="eastAsia" w:ascii="仿宋_GB2312" w:hAnsi="仿宋_GB2312" w:eastAsia="仿宋_GB2312" w:cs="仿宋_GB2312"/>
          <w:kern w:val="0"/>
          <w:sz w:val="32"/>
          <w:szCs w:val="32"/>
          <w:lang w:bidi="ar"/>
        </w:rPr>
        <w:t>佐证</w:t>
      </w:r>
      <w:r>
        <w:rPr>
          <w:rFonts w:hint="eastAsia" w:ascii="仿宋_GB2312" w:hAnsi="仿宋_GB2312" w:eastAsia="仿宋_GB2312"/>
          <w:kern w:val="0"/>
          <w:sz w:val="32"/>
          <w:szCs w:val="32"/>
        </w:rPr>
        <w:t>材料。</w:t>
      </w:r>
    </w:p>
    <w:p>
      <w:pPr>
        <w:overflowPunct w:val="0"/>
        <w:autoSpaceDE w:val="0"/>
        <w:autoSpaceDN w:val="0"/>
        <w:spacing w:beforeLines="0" w:afterLines="0" w:line="560" w:lineRule="exact"/>
        <w:ind w:firstLine="632" w:firstLineChars="200"/>
        <w:outlineLvl w:val="9"/>
        <w:rPr>
          <w:rFonts w:hint="eastAsia" w:ascii="仿宋_GB2312" w:hAnsi="仿宋_GB2312" w:eastAsia="仿宋_GB2312" w:cs="仿宋_GB2312"/>
          <w:kern w:val="0"/>
          <w:sz w:val="32"/>
          <w:szCs w:val="32"/>
          <w:lang w:bidi="ar"/>
        </w:rPr>
      </w:pPr>
      <w:r>
        <w:rPr>
          <w:rFonts w:hint="eastAsia" w:ascii="黑体" w:hAnsi="黑体" w:eastAsia="黑体" w:cs="黑体"/>
          <w:kern w:val="0"/>
          <w:sz w:val="32"/>
          <w:szCs w:val="32"/>
          <w:lang w:bidi="ar"/>
        </w:rPr>
        <w:t xml:space="preserve">第十九条  </w:t>
      </w:r>
      <w:r>
        <w:rPr>
          <w:rFonts w:hint="eastAsia" w:ascii="仿宋_GB2312" w:hAnsi="仿宋_GB2312" w:eastAsia="仿宋_GB2312"/>
          <w:kern w:val="0"/>
          <w:sz w:val="32"/>
          <w:szCs w:val="32"/>
        </w:rPr>
        <w:t>异议申诉材料齐全、符合法定形式的，</w:t>
      </w:r>
      <w:r>
        <w:rPr>
          <w:rFonts w:hint="eastAsia" w:ascii="仿宋_GB2312" w:hAnsi="仿宋_GB2312" w:eastAsia="仿宋_GB2312" w:cs="仿宋_GB2312"/>
          <w:kern w:val="0"/>
          <w:sz w:val="32"/>
          <w:szCs w:val="32"/>
        </w:rPr>
        <w:t>省</w:t>
      </w:r>
      <w:r>
        <w:rPr>
          <w:rFonts w:hint="eastAsia" w:ascii="仿宋_GB2312" w:hAnsi="仿宋_GB2312" w:eastAsia="仿宋_GB2312" w:cs="仿宋_GB2312"/>
          <w:kern w:val="0"/>
          <w:sz w:val="32"/>
          <w:szCs w:val="32"/>
          <w:lang w:bidi="ar"/>
        </w:rPr>
        <w:t>气象主管机构自收到异议申诉表之日起七个工作日内进行复核，并将复核结果书面告知申诉单位。异议申诉通过的，及时修正相关公共信用信息；异议申诉未通过的</w:t>
      </w:r>
      <w:r>
        <w:rPr>
          <w:rFonts w:hint="eastAsia" w:ascii="仿宋_GB2312" w:hAnsi="仿宋_GB2312" w:eastAsia="仿宋_GB2312"/>
          <w:kern w:val="0"/>
          <w:sz w:val="32"/>
          <w:szCs w:val="32"/>
        </w:rPr>
        <w:t>，不予变更</w:t>
      </w:r>
      <w:r>
        <w:rPr>
          <w:rFonts w:hint="eastAsia" w:ascii="仿宋_GB2312" w:hAnsi="仿宋_GB2312" w:eastAsia="仿宋_GB2312" w:cs="仿宋_GB2312"/>
          <w:kern w:val="0"/>
          <w:sz w:val="32"/>
          <w:szCs w:val="32"/>
          <w:lang w:bidi="ar"/>
        </w:rPr>
        <w:t>。</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仿宋_GB2312" w:hAnsi="仿宋_GB2312" w:eastAsia="仿宋_GB2312"/>
          <w:kern w:val="0"/>
          <w:sz w:val="32"/>
          <w:szCs w:val="32"/>
        </w:rPr>
        <w:t>材料不齐全或者不符合法定形式的，补齐补正材料后予以</w:t>
      </w:r>
      <w:r>
        <w:rPr>
          <w:rFonts w:hint="eastAsia" w:ascii="仿宋_GB2312" w:hAnsi="仿宋_GB2312" w:eastAsia="仿宋_GB2312" w:cs="仿宋_GB2312"/>
          <w:kern w:val="0"/>
          <w:sz w:val="32"/>
          <w:szCs w:val="32"/>
          <w:lang w:bidi="ar"/>
        </w:rPr>
        <w:t>复核</w:t>
      </w:r>
      <w:r>
        <w:rPr>
          <w:rFonts w:hint="eastAsia" w:ascii="仿宋_GB2312" w:hAnsi="仿宋_GB2312" w:eastAsia="仿宋_GB2312"/>
          <w:kern w:val="0"/>
          <w:sz w:val="32"/>
          <w:szCs w:val="32"/>
        </w:rPr>
        <w:t>。</w:t>
      </w:r>
    </w:p>
    <w:p>
      <w:pPr>
        <w:overflowPunct w:val="0"/>
        <w:autoSpaceDE w:val="0"/>
        <w:autoSpaceDN w:val="0"/>
        <w:spacing w:beforeLines="0" w:afterLines="0" w:line="560" w:lineRule="exact"/>
        <w:ind w:firstLine="632" w:firstLineChars="200"/>
        <w:outlineLvl w:val="9"/>
        <w:rPr>
          <w:rFonts w:hint="eastAsia" w:ascii="仿宋_GB2312" w:hAnsi="仿宋_GB2312" w:eastAsia="仿宋_GB2312"/>
          <w:kern w:val="0"/>
          <w:sz w:val="32"/>
          <w:szCs w:val="32"/>
        </w:rPr>
      </w:pPr>
      <w:r>
        <w:rPr>
          <w:rFonts w:hint="eastAsia" w:ascii="黑体" w:hAnsi="黑体" w:eastAsia="黑体" w:cs="黑体"/>
          <w:kern w:val="0"/>
          <w:sz w:val="32"/>
          <w:szCs w:val="32"/>
          <w:lang w:bidi="ar"/>
        </w:rPr>
        <w:t xml:space="preserve">第二十条  </w:t>
      </w:r>
      <w:r>
        <w:rPr>
          <w:rFonts w:hint="eastAsia" w:ascii="仿宋_GB2312" w:hAnsi="仿宋_GB2312" w:eastAsia="仿宋_GB2312"/>
          <w:kern w:val="0"/>
          <w:sz w:val="32"/>
          <w:szCs w:val="32"/>
        </w:rPr>
        <w:t>不良信息是指对检测单位信用状况构成负面影响的信息。检测单位不良信息的修复申请由采集信息的</w:t>
      </w:r>
      <w:r>
        <w:rPr>
          <w:rFonts w:hint="eastAsia" w:ascii="仿宋_GB2312" w:hAnsi="黑体" w:eastAsia="仿宋_GB2312"/>
          <w:kern w:val="0"/>
          <w:sz w:val="32"/>
          <w:szCs w:val="32"/>
        </w:rPr>
        <w:t>气象主管机构</w:t>
      </w:r>
      <w:r>
        <w:rPr>
          <w:rFonts w:hint="eastAsia" w:ascii="仿宋_GB2312" w:hAnsi="仿宋_GB2312" w:eastAsia="仿宋_GB2312"/>
          <w:kern w:val="0"/>
          <w:sz w:val="32"/>
          <w:szCs w:val="32"/>
        </w:rPr>
        <w:t>负责受理。</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仿宋_GB2312" w:hAnsi="仿宋_GB2312" w:eastAsia="仿宋_GB2312"/>
          <w:kern w:val="0"/>
          <w:sz w:val="32"/>
          <w:szCs w:val="32"/>
        </w:rPr>
        <w:t>“信用中国（福建）”网站以及地方信用信息共享平台和信用网站对检测单位行政处罚信息的修复，按照《失信行为纠正后的信用信息修复管理办法（试行）》执行。</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lang w:bidi="ar"/>
        </w:rPr>
        <w:t xml:space="preserve">第二十一条  </w:t>
      </w:r>
      <w:r>
        <w:rPr>
          <w:rFonts w:hint="eastAsia" w:ascii="仿宋_GB2312" w:hAnsi="仿宋_GB2312" w:eastAsia="仿宋_GB2312"/>
          <w:kern w:val="0"/>
          <w:sz w:val="32"/>
          <w:szCs w:val="32"/>
        </w:rPr>
        <w:t>检测单位申请不良</w:t>
      </w:r>
      <w:r>
        <w:rPr>
          <w:rFonts w:hint="eastAsia" w:ascii="仿宋_GB2312" w:hAnsi="仿宋_GB2312" w:eastAsia="仿宋_GB2312" w:cs="仿宋_GB2312"/>
          <w:kern w:val="0"/>
          <w:sz w:val="32"/>
          <w:szCs w:val="32"/>
        </w:rPr>
        <w:t>信息</w:t>
      </w:r>
      <w:r>
        <w:rPr>
          <w:rFonts w:hint="eastAsia" w:ascii="仿宋_GB2312" w:hAnsi="仿宋_GB2312" w:eastAsia="仿宋_GB2312"/>
          <w:kern w:val="0"/>
          <w:sz w:val="32"/>
          <w:szCs w:val="32"/>
        </w:rPr>
        <w:t>修复时，应当提交书面申请、整改报告和相关证明材料。</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highlight w:val="none"/>
        </w:rPr>
      </w:pPr>
      <w:r>
        <w:rPr>
          <w:rFonts w:hint="eastAsia" w:ascii="黑体" w:hAnsi="黑体" w:eastAsia="黑体" w:cs="黑体"/>
          <w:kern w:val="0"/>
          <w:sz w:val="32"/>
          <w:szCs w:val="32"/>
          <w:lang w:bidi="ar"/>
        </w:rPr>
        <w:t xml:space="preserve">第二十二条  </w:t>
      </w:r>
      <w:r>
        <w:rPr>
          <w:rFonts w:hint="eastAsia" w:ascii="仿宋_GB2312" w:hAnsi="仿宋_GB2312" w:eastAsia="仿宋_GB2312"/>
          <w:kern w:val="0"/>
          <w:sz w:val="32"/>
          <w:szCs w:val="32"/>
        </w:rPr>
        <w:t>检测单位申请不良信息修复，应当同时满足以下条件：</w:t>
      </w:r>
    </w:p>
    <w:p>
      <w:pPr>
        <w:numPr>
          <w:ilvl w:val="0"/>
          <w:numId w:val="0"/>
        </w:numPr>
        <w:overflowPunct w:val="0"/>
        <w:autoSpaceDE w:val="0"/>
        <w:autoSpaceDN w:val="0"/>
        <w:spacing w:beforeLines="0" w:afterLines="0" w:line="560" w:lineRule="exact"/>
        <w:ind w:firstLine="632" w:firstLineChars="200"/>
        <w:rPr>
          <w:rFonts w:hint="eastAsia" w:ascii="仿宋_GB2312" w:hAnsi="宋体" w:eastAsia="仿宋_GB2312" w:cs="仿宋_GB2312"/>
          <w:kern w:val="0"/>
          <w:sz w:val="32"/>
          <w:szCs w:val="32"/>
          <w:highlight w:val="none"/>
          <w:shd w:val="clear" w:color="auto" w:fill="FFFFFF"/>
        </w:rPr>
      </w:pPr>
      <w:r>
        <w:rPr>
          <w:rFonts w:hint="eastAsia" w:ascii="仿宋_GB2312" w:hAnsi="宋体" w:cs="仿宋_GB2312"/>
          <w:kern w:val="0"/>
          <w:sz w:val="32"/>
          <w:szCs w:val="32"/>
          <w:highlight w:val="none"/>
          <w:shd w:val="clear" w:color="auto" w:fill="FFFFFF"/>
          <w:lang w:eastAsia="zh-CN"/>
        </w:rPr>
        <w:t>（一）</w:t>
      </w:r>
      <w:r>
        <w:rPr>
          <w:rFonts w:hint="eastAsia" w:ascii="仿宋_GB2312" w:hAnsi="宋体" w:eastAsia="仿宋_GB2312" w:cs="仿宋_GB2312"/>
          <w:kern w:val="0"/>
          <w:sz w:val="32"/>
          <w:szCs w:val="32"/>
          <w:highlight w:val="none"/>
          <w:shd w:val="clear" w:color="auto" w:fill="FFFFFF"/>
        </w:rPr>
        <w:t>已纠正产生不良信息的行为；</w:t>
      </w:r>
    </w:p>
    <w:p>
      <w:pPr>
        <w:numPr>
          <w:ilvl w:val="0"/>
          <w:numId w:val="0"/>
        </w:numPr>
        <w:overflowPunct w:val="0"/>
        <w:autoSpaceDE w:val="0"/>
        <w:autoSpaceDN w:val="0"/>
        <w:spacing w:beforeLines="0" w:afterLines="0" w:line="560" w:lineRule="exact"/>
        <w:ind w:firstLine="641"/>
        <w:rPr>
          <w:rFonts w:ascii="仿宋_GB2312" w:hAnsi="仿宋_GB2312" w:eastAsia="仿宋_GB2312"/>
          <w:sz w:val="32"/>
          <w:szCs w:val="32"/>
          <w:highlight w:val="none"/>
        </w:rPr>
      </w:pPr>
      <w:r>
        <w:rPr>
          <w:rFonts w:hint="eastAsia" w:ascii="仿宋_GB2312" w:hAnsi="宋体" w:eastAsia="仿宋_GB2312" w:cs="仿宋_GB2312"/>
          <w:kern w:val="0"/>
          <w:sz w:val="32"/>
          <w:szCs w:val="32"/>
          <w:shd w:val="clear" w:color="auto" w:fill="FFFFFF"/>
        </w:rPr>
        <w:t>（二）</w:t>
      </w:r>
      <w:r>
        <w:rPr>
          <w:rFonts w:hint="eastAsia" w:ascii="仿宋_GB2312" w:hAnsi="仿宋_GB2312" w:eastAsia="仿宋_GB2312"/>
          <w:sz w:val="32"/>
          <w:szCs w:val="32"/>
          <w:highlight w:val="none"/>
        </w:rPr>
        <w:t>已</w:t>
      </w:r>
      <w:r>
        <w:rPr>
          <w:rFonts w:hint="eastAsia" w:ascii="仿宋_GB2312" w:hAnsi="仿宋_GB2312" w:eastAsia="仿宋_GB2312"/>
          <w:sz w:val="32"/>
          <w:szCs w:val="32"/>
          <w:highlight w:val="none"/>
          <w:lang w:eastAsia="zh-CN"/>
        </w:rPr>
        <w:t>届</w:t>
      </w:r>
      <w:r>
        <w:rPr>
          <w:rFonts w:hint="eastAsia" w:ascii="仿宋_GB2312" w:hAnsi="仿宋_GB2312" w:eastAsia="仿宋_GB2312"/>
          <w:sz w:val="32"/>
          <w:szCs w:val="32"/>
          <w:highlight w:val="none"/>
        </w:rPr>
        <w:t>满</w:t>
      </w:r>
      <w:r>
        <w:rPr>
          <w:rFonts w:hint="eastAsia" w:ascii="仿宋_GB2312" w:hAnsi="黑体" w:eastAsia="仿宋_GB2312"/>
          <w:sz w:val="32"/>
          <w:szCs w:val="32"/>
          <w:highlight w:val="none"/>
        </w:rPr>
        <w:t>最短</w:t>
      </w:r>
      <w:r>
        <w:rPr>
          <w:rFonts w:hint="eastAsia" w:ascii="仿宋_GB2312" w:hAnsi="仿宋_GB2312" w:eastAsia="仿宋_GB2312"/>
          <w:sz w:val="32"/>
          <w:szCs w:val="32"/>
          <w:highlight w:val="none"/>
        </w:rPr>
        <w:t>公开期</w:t>
      </w:r>
      <w:r>
        <w:rPr>
          <w:rFonts w:hint="eastAsia" w:ascii="仿宋_GB2312" w:hAnsi="仿宋_GB2312" w:eastAsia="仿宋_GB2312"/>
          <w:sz w:val="32"/>
          <w:szCs w:val="32"/>
          <w:highlight w:val="none"/>
          <w:lang w:eastAsia="zh-CN"/>
        </w:rPr>
        <w:t>限</w:t>
      </w:r>
      <w:r>
        <w:rPr>
          <w:rFonts w:hint="eastAsia" w:ascii="仿宋_GB2312" w:hAnsi="仿宋_GB2312" w:eastAsia="仿宋_GB2312"/>
          <w:sz w:val="32"/>
          <w:szCs w:val="32"/>
          <w:highlight w:val="none"/>
        </w:rPr>
        <w:t>。</w:t>
      </w:r>
    </w:p>
    <w:p>
      <w:pPr>
        <w:overflowPunct w:val="0"/>
        <w:autoSpaceDE w:val="0"/>
        <w:autoSpaceDN w:val="0"/>
        <w:spacing w:beforeLines="0" w:afterLines="0" w:line="560" w:lineRule="exact"/>
        <w:ind w:firstLine="632" w:firstLineChars="200"/>
        <w:outlineLvl w:val="9"/>
        <w:rPr>
          <w:rFonts w:ascii="仿宋_GB2312" w:hAnsi="仿宋_GB2312" w:eastAsia="仿宋_GB2312"/>
          <w:kern w:val="0"/>
          <w:sz w:val="32"/>
          <w:szCs w:val="32"/>
        </w:rPr>
      </w:pPr>
      <w:r>
        <w:rPr>
          <w:rFonts w:hint="eastAsia" w:ascii="黑体" w:hAnsi="黑体" w:eastAsia="黑体" w:cs="黑体"/>
          <w:kern w:val="0"/>
          <w:sz w:val="32"/>
          <w:szCs w:val="32"/>
          <w:lang w:bidi="ar"/>
        </w:rPr>
        <w:t>第二十三条</w:t>
      </w:r>
      <w:r>
        <w:rPr>
          <w:rFonts w:hint="eastAsia" w:ascii="仿宋_GB2312" w:hAnsi="仿宋_GB2312" w:eastAsia="仿宋_GB2312"/>
          <w:kern w:val="0"/>
          <w:sz w:val="32"/>
          <w:szCs w:val="32"/>
        </w:rPr>
        <w:t xml:space="preserve">  不符合修复条件的，不予修复；符合修复条件的，</w:t>
      </w:r>
      <w:r>
        <w:rPr>
          <w:rFonts w:hint="eastAsia" w:ascii="仿宋_GB2312" w:hAnsi="仿宋_GB2312" w:eastAsia="仿宋_GB2312" w:cs="仿宋_GB2312"/>
          <w:kern w:val="0"/>
          <w:sz w:val="32"/>
          <w:szCs w:val="32"/>
          <w:lang w:bidi="ar"/>
        </w:rPr>
        <w:t>七个</w:t>
      </w:r>
      <w:r>
        <w:rPr>
          <w:rFonts w:hint="eastAsia" w:ascii="仿宋_GB2312" w:hAnsi="仿宋_GB2312" w:eastAsia="仿宋_GB2312"/>
          <w:kern w:val="0"/>
          <w:sz w:val="32"/>
          <w:szCs w:val="32"/>
        </w:rPr>
        <w:t>工作日内修复或者终止不良信息的公示。</w:t>
      </w:r>
    </w:p>
    <w:p>
      <w:pPr>
        <w:overflowPunct w:val="0"/>
        <w:autoSpaceDE w:val="0"/>
        <w:autoSpaceDN w:val="0"/>
        <w:spacing w:before="288" w:beforeLines="50" w:after="0" w:afterLines="0" w:line="560" w:lineRule="exact"/>
        <w:ind w:firstLine="0" w:firstLineChars="0"/>
        <w:jc w:val="center"/>
        <w:rPr>
          <w:rFonts w:hint="eastAsia" w:ascii="黑体" w:hAnsi="黑体" w:eastAsia="黑体" w:cs="黑体"/>
          <w:sz w:val="32"/>
          <w:szCs w:val="32"/>
          <w:lang w:bidi="ar"/>
        </w:rPr>
      </w:pPr>
      <w:r>
        <w:rPr>
          <w:rFonts w:hint="eastAsia" w:ascii="黑体" w:hAnsi="黑体" w:eastAsia="黑体" w:cs="黑体"/>
          <w:sz w:val="32"/>
          <w:szCs w:val="32"/>
          <w:lang w:bidi="ar"/>
        </w:rPr>
        <w:t>第六章  公共信用信息应用</w:t>
      </w:r>
    </w:p>
    <w:p>
      <w:pPr>
        <w:widowControl w:val="0"/>
        <w:overflowPunct w:val="0"/>
        <w:autoSpaceDE w:val="0"/>
        <w:autoSpaceDN w:val="0"/>
        <w:spacing w:beforeLines="0" w:afterLines="0" w:line="560" w:lineRule="exact"/>
        <w:ind w:firstLine="632" w:firstLineChars="200"/>
        <w:jc w:val="both"/>
        <w:outlineLvl w:val="9"/>
        <w:rPr>
          <w:rFonts w:ascii="宋体" w:hAnsi="宋体" w:eastAsia="宋体" w:cs="宋体"/>
          <w:kern w:val="0"/>
          <w:sz w:val="25"/>
          <w:szCs w:val="25"/>
        </w:rPr>
      </w:pPr>
      <w:r>
        <w:rPr>
          <w:rFonts w:hint="eastAsia" w:ascii="黑体" w:hAnsi="黑体" w:eastAsia="黑体" w:cs="黑体"/>
          <w:kern w:val="0"/>
          <w:sz w:val="32"/>
          <w:szCs w:val="32"/>
          <w:lang w:bidi="ar"/>
        </w:rPr>
        <w:t xml:space="preserve">第二十四条 </w:t>
      </w:r>
      <w:r>
        <w:rPr>
          <w:rFonts w:hint="eastAsia" w:ascii="黑体" w:hAnsi="黑体" w:eastAsia="黑体" w:cs="黑体"/>
          <w:kern w:val="0"/>
          <w:sz w:val="24"/>
          <w:szCs w:val="24"/>
          <w:lang w:bidi="ar"/>
        </w:rPr>
        <w:t xml:space="preserve"> </w:t>
      </w:r>
      <w:r>
        <w:rPr>
          <w:rFonts w:hint="eastAsia" w:ascii="仿宋_GB2312" w:hAnsi="宋体" w:eastAsia="仿宋_GB2312" w:cs="仿宋_GB2312"/>
          <w:kern w:val="0"/>
          <w:sz w:val="32"/>
          <w:szCs w:val="32"/>
          <w:shd w:val="clear" w:color="auto" w:fill="FFFFFF"/>
        </w:rPr>
        <w:t>检测单位有下列不良信息的，列入重点问题监督管理对象，按规定开展重点检查：</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（一）未报送年度报告的；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（二）检测质量综合考核不合格的；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（三）一年内行政检查发现问题被责令限期改正两次及以上的；</w:t>
      </w:r>
    </w:p>
    <w:p>
      <w:pPr>
        <w:widowControl w:val="0"/>
        <w:overflowPunct w:val="0"/>
        <w:autoSpaceDE w:val="0"/>
        <w:autoSpaceDN w:val="0"/>
        <w:spacing w:beforeLines="0" w:afterLines="0" w:line="560" w:lineRule="exact"/>
        <w:ind w:firstLine="632" w:firstLineChars="200"/>
        <w:jc w:val="both"/>
        <w:rPr>
          <w:rFonts w:hint="eastAsia"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（四）行政检查发现问题或者检测质量考核不合格责令限期整改后仍不合格的；</w:t>
      </w:r>
    </w:p>
    <w:p>
      <w:pPr>
        <w:widowControl w:val="0"/>
        <w:overflowPunct w:val="0"/>
        <w:autoSpaceDE w:val="0"/>
        <w:autoSpaceDN w:val="0"/>
        <w:spacing w:beforeLines="0" w:afterLines="0" w:line="560" w:lineRule="exact"/>
        <w:ind w:firstLine="632" w:firstLineChars="200"/>
        <w:jc w:val="both"/>
        <w:rPr>
          <w:rFonts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（五）受到行政处罚的；</w:t>
      </w:r>
    </w:p>
    <w:p>
      <w:pPr>
        <w:widowControl w:val="0"/>
        <w:overflowPunct w:val="0"/>
        <w:autoSpaceDE w:val="0"/>
        <w:autoSpaceDN w:val="0"/>
        <w:spacing w:beforeLines="0" w:afterLines="0" w:line="560" w:lineRule="exact"/>
        <w:ind w:firstLine="632" w:firstLineChars="200"/>
        <w:jc w:val="both"/>
        <w:rPr>
          <w:rFonts w:ascii="Calibri" w:hAnsi="Calibri" w:eastAsia="宋体"/>
          <w:kern w:val="0"/>
          <w:sz w:val="24"/>
          <w:szCs w:val="24"/>
        </w:rPr>
      </w:pPr>
      <w:r>
        <w:rPr>
          <w:rFonts w:hint="eastAsia" w:ascii="仿宋_GB2312" w:hAnsi="宋体" w:eastAsia="仿宋_GB2312" w:cs="仿宋_GB2312"/>
          <w:kern w:val="0"/>
          <w:sz w:val="32"/>
          <w:szCs w:val="32"/>
          <w:shd w:val="clear" w:color="auto" w:fill="FFFFFF"/>
        </w:rPr>
        <w:t>（六）列入且未移出其他管理部门严重失信名单的；</w:t>
      </w:r>
    </w:p>
    <w:p>
      <w:pPr>
        <w:widowControl w:val="0"/>
        <w:overflowPunct w:val="0"/>
        <w:autoSpaceDE w:val="0"/>
        <w:autoSpaceDN w:val="0"/>
        <w:spacing w:beforeLines="0" w:afterLines="0" w:line="560" w:lineRule="exact"/>
        <w:ind w:firstLine="632" w:firstLineChars="200"/>
        <w:jc w:val="both"/>
        <w:rPr>
          <w:rFonts w:ascii="Calibri" w:hAnsi="Calibri" w:eastAsia="宋体"/>
          <w:kern w:val="0"/>
          <w:sz w:val="24"/>
          <w:szCs w:val="24"/>
        </w:rPr>
      </w:pPr>
      <w:r>
        <w:rPr>
          <w:rFonts w:hint="eastAsia" w:ascii="仿宋_GB2312" w:hAnsi="宋体" w:eastAsia="仿宋_GB2312" w:cs="仿宋_GB2312"/>
          <w:kern w:val="0"/>
          <w:sz w:val="32"/>
          <w:szCs w:val="32"/>
          <w:shd w:val="clear" w:color="auto" w:fill="FFFFFF"/>
        </w:rPr>
        <w:t>（七）设立分支机构或者跨省（自治区、直辖市）从事雷电防护装置检测活动未及时向省气象主管机构报告、未报送检测项目清单或者拒不接受监督管理的；</w:t>
      </w:r>
    </w:p>
    <w:p>
      <w:pPr>
        <w:widowControl w:val="0"/>
        <w:overflowPunct w:val="0"/>
        <w:autoSpaceDE w:val="0"/>
        <w:autoSpaceDN w:val="0"/>
        <w:spacing w:beforeLines="0" w:afterLines="0" w:line="560" w:lineRule="exact"/>
        <w:ind w:firstLine="632" w:firstLineChars="200"/>
        <w:jc w:val="both"/>
        <w:rPr>
          <w:rFonts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（八）有不良检测行为被投诉并经查证属实的；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（九）行政检查发现其他违法违规行为的。</w:t>
      </w:r>
    </w:p>
    <w:p>
      <w:pPr>
        <w:widowControl w:val="0"/>
        <w:overflowPunct w:val="0"/>
        <w:autoSpaceDE w:val="0"/>
        <w:autoSpaceDN w:val="0"/>
        <w:spacing w:beforeLines="0" w:afterLines="0" w:line="560" w:lineRule="exact"/>
        <w:ind w:firstLine="632" w:firstLineChars="200"/>
        <w:jc w:val="both"/>
        <w:outlineLvl w:val="9"/>
        <w:rPr>
          <w:rFonts w:ascii="宋体" w:hAnsi="宋体" w:eastAsia="宋体" w:cs="宋体"/>
          <w:kern w:val="0"/>
          <w:sz w:val="25"/>
          <w:szCs w:val="25"/>
        </w:rPr>
      </w:pPr>
      <w:r>
        <w:rPr>
          <w:rFonts w:hint="eastAsia" w:ascii="黑体" w:hAnsi="宋体" w:eastAsia="黑体" w:cs="黑体"/>
          <w:kern w:val="0"/>
          <w:sz w:val="32"/>
          <w:szCs w:val="32"/>
          <w:shd w:val="clear" w:color="auto" w:fill="FFFFFF"/>
        </w:rPr>
        <w:t>第二十五条</w:t>
      </w:r>
      <w:r>
        <w:rPr>
          <w:rFonts w:hint="eastAsia" w:ascii="仿宋_GB2312" w:hAnsi="宋体" w:eastAsia="仿宋_GB2312" w:cs="仿宋_GB2312"/>
          <w:kern w:val="0"/>
          <w:sz w:val="32"/>
          <w:szCs w:val="32"/>
          <w:shd w:val="clear" w:color="auto" w:fill="FFFFFF"/>
        </w:rPr>
        <w:t> 取得福建省气象主管机构颁发资质的检测单位有下列不良信息的，不予资质延续或资质升级：</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（一）与检测项目的设计、施工、监理单位以及所使用的防雷产品生产、销售单位有隶属关系或者其他利害关系，且限期未改正的；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（二）使用不符合条件的雷电防护装置检测人员，且限期未改正的；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（三）一年内受到气象主管机构两次及以上行政处罚的；</w:t>
      </w:r>
    </w:p>
    <w:p>
      <w:pPr>
        <w:widowControl w:val="0"/>
        <w:overflowPunct w:val="0"/>
        <w:autoSpaceDE w:val="0"/>
        <w:autoSpaceDN w:val="0"/>
        <w:spacing w:beforeLines="0" w:afterLines="0" w:line="560" w:lineRule="exact"/>
        <w:ind w:firstLine="632" w:firstLineChars="200"/>
        <w:jc w:val="both"/>
        <w:rPr>
          <w:rFonts w:ascii="宋体" w:hAnsi="宋体" w:eastAsia="宋体" w:cs="宋体"/>
          <w:kern w:val="0"/>
          <w:sz w:val="25"/>
          <w:szCs w:val="25"/>
        </w:rPr>
      </w:pPr>
      <w:r>
        <w:rPr>
          <w:rFonts w:hint="eastAsia" w:ascii="仿宋_GB2312" w:hAnsi="宋体" w:eastAsia="仿宋_GB2312" w:cs="仿宋_GB2312"/>
          <w:kern w:val="0"/>
          <w:sz w:val="32"/>
          <w:szCs w:val="32"/>
          <w:shd w:val="clear" w:color="auto" w:fill="FFFFFF"/>
        </w:rPr>
        <w:t>（四）承诺事项经核实为不实承诺的；</w:t>
      </w:r>
    </w:p>
    <w:p>
      <w:pPr>
        <w:widowControl w:val="0"/>
        <w:overflowPunct w:val="0"/>
        <w:autoSpaceDE w:val="0"/>
        <w:autoSpaceDN w:val="0"/>
        <w:spacing w:beforeLines="0" w:afterLines="0" w:line="560" w:lineRule="exact"/>
        <w:ind w:firstLine="632" w:firstLineChars="200"/>
        <w:jc w:val="both"/>
        <w:rPr>
          <w:rFonts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（五）资质评审现场考核中有违法违规行为的；</w:t>
      </w:r>
    </w:p>
    <w:p>
      <w:pPr>
        <w:widowControl w:val="0"/>
        <w:overflowPunct w:val="0"/>
        <w:autoSpaceDE w:val="0"/>
        <w:autoSpaceDN w:val="0"/>
        <w:spacing w:beforeLines="0" w:afterLines="0" w:line="560" w:lineRule="exact"/>
        <w:ind w:firstLine="632" w:firstLineChars="200"/>
        <w:jc w:val="both"/>
        <w:rPr>
          <w:rFonts w:hint="eastAsia" w:ascii="仿宋_GB2312" w:hAnsi="宋体" w:eastAsia="宋体" w:cs="仿宋_GB2312"/>
          <w:kern w:val="0"/>
          <w:sz w:val="32"/>
          <w:szCs w:val="32"/>
          <w:highlight w:val="yellow"/>
          <w:shd w:val="clear" w:color="auto" w:fill="FFFFFF"/>
        </w:rPr>
      </w:pPr>
      <w:r>
        <w:rPr>
          <w:rFonts w:hint="eastAsia" w:ascii="仿宋_GB2312" w:hAnsi="宋体" w:eastAsia="仿宋_GB2312" w:cs="仿宋_GB2312"/>
          <w:kern w:val="0"/>
          <w:sz w:val="32"/>
          <w:szCs w:val="32"/>
          <w:shd w:val="clear" w:color="auto" w:fill="FFFFFF"/>
        </w:rPr>
        <w:t>（六）综合考核不合格且限期整改后仍不合格的；</w:t>
      </w:r>
    </w:p>
    <w:p>
      <w:pPr>
        <w:widowControl w:val="0"/>
        <w:overflowPunct w:val="0"/>
        <w:autoSpaceDE w:val="0"/>
        <w:autoSpaceDN w:val="0"/>
        <w:spacing w:beforeLines="0" w:afterLines="0" w:line="560" w:lineRule="exact"/>
        <w:ind w:firstLine="632" w:firstLineChars="200"/>
        <w:jc w:val="both"/>
        <w:rPr>
          <w:rFonts w:ascii="仿宋_GB2312" w:hAnsi="宋体" w:eastAsia="仿宋_GB2312" w:cs="仿宋_GB2312"/>
          <w:kern w:val="0"/>
          <w:sz w:val="32"/>
          <w:szCs w:val="32"/>
          <w:shd w:val="clear" w:color="auto" w:fill="FFFFFF"/>
        </w:rPr>
      </w:pPr>
      <w:r>
        <w:rPr>
          <w:rFonts w:hint="eastAsia" w:ascii="仿宋_GB2312" w:hAnsi="宋体" w:eastAsia="仿宋_GB2312" w:cs="仿宋_GB2312"/>
          <w:kern w:val="0"/>
          <w:sz w:val="32"/>
          <w:szCs w:val="32"/>
          <w:shd w:val="clear" w:color="auto" w:fill="FFFFFF"/>
        </w:rPr>
        <w:t>（七）行政检查中发现其他严重违法违规行为的。</w:t>
      </w:r>
    </w:p>
    <w:p>
      <w:pPr>
        <w:overflowPunct w:val="0"/>
        <w:autoSpaceDE w:val="0"/>
        <w:autoSpaceDN w:val="0"/>
        <w:spacing w:before="288" w:beforeLines="50" w:after="0" w:afterLines="0" w:line="560" w:lineRule="exact"/>
        <w:ind w:firstLine="0" w:firstLineChars="0"/>
        <w:jc w:val="center"/>
        <w:rPr>
          <w:rFonts w:hint="eastAsia" w:ascii="黑体" w:hAnsi="黑体" w:eastAsia="黑体" w:cs="黑体"/>
          <w:sz w:val="32"/>
          <w:szCs w:val="32"/>
          <w:lang w:bidi="ar"/>
        </w:rPr>
      </w:pPr>
      <w:r>
        <w:rPr>
          <w:rFonts w:hint="eastAsia" w:ascii="黑体" w:hAnsi="黑体" w:eastAsia="黑体" w:cs="黑体"/>
          <w:sz w:val="32"/>
          <w:szCs w:val="32"/>
          <w:lang w:bidi="ar"/>
        </w:rPr>
        <w:t>第七章  附  则</w:t>
      </w:r>
    </w:p>
    <w:p>
      <w:pPr>
        <w:overflowPunct w:val="0"/>
        <w:autoSpaceDE w:val="0"/>
        <w:autoSpaceDN w:val="0"/>
        <w:spacing w:beforeLines="0" w:afterLines="0" w:line="560" w:lineRule="exact"/>
        <w:ind w:firstLine="632" w:firstLineChars="200"/>
        <w:jc w:val="both"/>
        <w:outlineLvl w:val="9"/>
        <w:rPr>
          <w:rFonts w:ascii="仿宋_GB2312" w:hAnsi="仿宋_GB2312" w:eastAsia="仿宋_GB2312" w:cs="仿宋_GB2312"/>
          <w:kern w:val="0"/>
          <w:sz w:val="32"/>
          <w:szCs w:val="32"/>
        </w:rPr>
      </w:pPr>
      <w:r>
        <w:rPr>
          <w:rFonts w:hint="eastAsia" w:ascii="黑体" w:hAnsi="黑体" w:eastAsia="黑体" w:cs="黑体"/>
          <w:kern w:val="0"/>
          <w:sz w:val="32"/>
          <w:szCs w:val="32"/>
          <w:lang w:bidi="ar"/>
        </w:rPr>
        <w:t>第二十六条</w:t>
      </w:r>
      <w:r>
        <w:rPr>
          <w:rFonts w:hint="eastAsia" w:ascii="黑体" w:hAnsi="黑体" w:eastAsia="黑体" w:cs="黑体"/>
          <w:sz w:val="32"/>
          <w:szCs w:val="32"/>
        </w:rPr>
        <w:t xml:space="preserve">  </w:t>
      </w:r>
      <w:r>
        <w:rPr>
          <w:rFonts w:hint="eastAsia" w:ascii="仿宋_GB2312" w:hAnsi="仿宋_GB2312" w:eastAsia="仿宋_GB2312" w:cs="仿宋_GB2312"/>
          <w:kern w:val="0"/>
          <w:sz w:val="32"/>
          <w:szCs w:val="32"/>
        </w:rPr>
        <w:t>本细则自发布之日起施行。</w:t>
      </w: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spacing w:line="700" w:lineRule="exact"/>
        <w:ind w:firstLine="632" w:firstLineChars="200"/>
        <w:jc w:val="both"/>
        <w:rPr>
          <w:rFonts w:hint="eastAsia" w:ascii="仿宋_GB2312" w:hAnsi="宋体" w:eastAsia="仿宋_GB2312"/>
          <w:kern w:val="0"/>
          <w:sz w:val="32"/>
          <w:szCs w:val="32"/>
          <w:lang w:eastAsia="zh-CN"/>
        </w:rPr>
      </w:pPr>
    </w:p>
    <w:p>
      <w:pPr>
        <w:widowControl w:val="0"/>
        <w:spacing w:line="560" w:lineRule="exact"/>
        <w:jc w:val="both"/>
        <w:outlineLvl w:val="9"/>
        <w:rPr>
          <w:rFonts w:ascii="黑体" w:hAnsi="黑体" w:eastAsia="黑体" w:cs="黑体"/>
          <w:kern w:val="0"/>
          <w:sz w:val="32"/>
          <w:szCs w:val="32"/>
        </w:rPr>
      </w:pPr>
      <w:r>
        <w:rPr>
          <w:rFonts w:hint="eastAsia" w:ascii="黑体" w:hAnsi="黑体" w:eastAsia="黑体" w:cs="黑体"/>
          <w:kern w:val="0"/>
          <w:sz w:val="32"/>
          <w:szCs w:val="32"/>
        </w:rPr>
        <w:t>附件1</w:t>
      </w:r>
    </w:p>
    <w:p>
      <w:pPr>
        <w:widowControl/>
        <w:snapToGrid w:val="0"/>
        <w:spacing w:line="560" w:lineRule="exact"/>
        <w:jc w:val="left"/>
        <w:outlineLvl w:val="0"/>
        <w:rPr>
          <w:rFonts w:ascii="黑体" w:hAnsi="黑体" w:eastAsia="黑体" w:cs="黑体"/>
          <w:kern w:val="0"/>
          <w:sz w:val="32"/>
          <w:szCs w:val="32"/>
        </w:rPr>
      </w:pPr>
    </w:p>
    <w:p>
      <w:pPr>
        <w:widowControl/>
        <w:snapToGrid w:val="0"/>
        <w:spacing w:line="560" w:lineRule="exact"/>
        <w:jc w:val="center"/>
        <w:rPr>
          <w:rFonts w:ascii="方正小标宋简体" w:hAnsi="方正小标宋简体" w:eastAsia="方正小标宋简体" w:cs="方正小标宋简体"/>
          <w:kern w:val="0"/>
          <w:sz w:val="36"/>
          <w:szCs w:val="36"/>
          <w:lang w:bidi="ar"/>
        </w:rPr>
      </w:pPr>
      <w:r>
        <w:rPr>
          <w:rFonts w:hint="eastAsia" w:ascii="方正小标宋简体" w:hAnsi="方正小标宋简体" w:eastAsia="方正小标宋简体" w:cs="方正小标宋简体"/>
          <w:kern w:val="0"/>
          <w:sz w:val="36"/>
          <w:szCs w:val="36"/>
          <w:lang w:bidi="ar"/>
        </w:rPr>
        <w:t>福建省雷电防护装置检测单位信用评价评分标准</w:t>
      </w:r>
    </w:p>
    <w:tbl>
      <w:tblPr>
        <w:tblStyle w:val="6"/>
        <w:tblW w:w="9212" w:type="dxa"/>
        <w:jc w:val="center"/>
        <w:tblLayout w:type="fixed"/>
        <w:tblCellMar>
          <w:top w:w="0" w:type="dxa"/>
          <w:left w:w="108" w:type="dxa"/>
          <w:bottom w:w="0" w:type="dxa"/>
          <w:right w:w="108" w:type="dxa"/>
        </w:tblCellMar>
      </w:tblPr>
      <w:tblGrid>
        <w:gridCol w:w="565"/>
        <w:gridCol w:w="835"/>
        <w:gridCol w:w="5872"/>
        <w:gridCol w:w="1940"/>
      </w:tblGrid>
      <w:tr>
        <w:tblPrEx>
          <w:tblCellMar>
            <w:top w:w="0" w:type="dxa"/>
            <w:left w:w="108" w:type="dxa"/>
            <w:bottom w:w="0" w:type="dxa"/>
            <w:right w:w="108" w:type="dxa"/>
          </w:tblCellMar>
        </w:tblPrEx>
        <w:trPr>
          <w:trHeight w:val="480"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序号</w:t>
            </w:r>
          </w:p>
        </w:tc>
        <w:tc>
          <w:tcPr>
            <w:tcW w:w="83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分值</w:t>
            </w: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评价内容</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b/>
                <w:bCs/>
                <w:color w:val="000000"/>
                <w:sz w:val="24"/>
                <w:szCs w:val="24"/>
              </w:rPr>
            </w:pPr>
            <w:r>
              <w:rPr>
                <w:rFonts w:hint="eastAsia" w:ascii="宋体" w:hAnsi="宋体" w:eastAsia="宋体" w:cs="宋体"/>
                <w:b/>
                <w:bCs/>
                <w:color w:val="000000"/>
                <w:kern w:val="0"/>
                <w:sz w:val="24"/>
                <w:szCs w:val="24"/>
                <w:lang w:bidi="ar"/>
              </w:rPr>
              <w:t>备注</w:t>
            </w: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83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基础能力（10）</w:t>
            </w: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检测单位报送的基本信息、人员信息、设备信息、项目信息完整的，得2分。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有固定经营场所的，得2分。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以房产证或房屋租赁合同为准</w:t>
            </w: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组织机构健全，职责明确的，得2分。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ascii="宋体" w:hAnsi="宋体" w:eastAsia="宋体" w:cs="宋体"/>
                <w:color w:val="000000"/>
                <w:kern w:val="0"/>
                <w:sz w:val="21"/>
                <w:szCs w:val="21"/>
                <w:lang w:bidi="ar"/>
              </w:rPr>
              <w:t>根据</w:t>
            </w:r>
            <w:r>
              <w:rPr>
                <w:rFonts w:hint="eastAsia" w:ascii="宋体" w:hAnsi="宋体" w:eastAsia="宋体" w:cs="宋体"/>
                <w:color w:val="000000"/>
                <w:kern w:val="0"/>
                <w:sz w:val="21"/>
                <w:szCs w:val="21"/>
                <w:lang w:bidi="ar"/>
              </w:rPr>
              <w:t>组织机构框图、内部文件</w:t>
            </w:r>
          </w:p>
        </w:tc>
      </w:tr>
      <w:tr>
        <w:tblPrEx>
          <w:tblCellMar>
            <w:top w:w="0" w:type="dxa"/>
            <w:left w:w="108" w:type="dxa"/>
            <w:bottom w:w="0" w:type="dxa"/>
            <w:right w:w="108" w:type="dxa"/>
          </w:tblCellMar>
        </w:tblPrEx>
        <w:trPr>
          <w:trHeight w:val="480"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检测专业技术人员中，每有1名高级职称的得0.4分，每有1名中级职称的得0.2分。总分2分。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根据职称证书和相关文件(考核</w:t>
            </w:r>
            <w:r>
              <w:rPr>
                <w:rFonts w:ascii="宋体" w:hAnsi="宋体" w:eastAsia="宋体" w:cs="宋体"/>
                <w:color w:val="000000"/>
                <w:kern w:val="0"/>
                <w:sz w:val="21"/>
                <w:szCs w:val="21"/>
                <w:lang w:bidi="ar"/>
              </w:rPr>
              <w:t>实际参加</w:t>
            </w:r>
            <w:r>
              <w:rPr>
                <w:rFonts w:hint="eastAsia" w:ascii="宋体" w:hAnsi="宋体" w:eastAsia="宋体" w:cs="宋体"/>
                <w:color w:val="000000"/>
                <w:kern w:val="0"/>
                <w:sz w:val="21"/>
                <w:szCs w:val="21"/>
                <w:lang w:bidi="ar"/>
              </w:rPr>
              <w:t>当地检测活动的技术人员）</w:t>
            </w:r>
          </w:p>
        </w:tc>
      </w:tr>
      <w:tr>
        <w:tblPrEx>
          <w:tblCellMar>
            <w:top w:w="0" w:type="dxa"/>
            <w:left w:w="108" w:type="dxa"/>
            <w:bottom w:w="0" w:type="dxa"/>
            <w:right w:w="108" w:type="dxa"/>
          </w:tblCellMar>
        </w:tblPrEx>
        <w:trPr>
          <w:trHeight w:val="480"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建立安全生产管理规定,对安全管理员、进场前安全准备、安全作业、车辆安全等做出规定的，得2分。每发现1项不符合要求的扣0.5分，直至不得分。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查看相关安全生产规定</w:t>
            </w: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83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信息报送情况（20）</w:t>
            </w: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按规定进行信息报送的，得10分。逾期报送的，得5分。没报送的，不得分。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信息报送材料完整的，得4分。存在缺项的，一项扣1分，</w:t>
            </w:r>
            <w:r>
              <w:rPr>
                <w:rFonts w:ascii="宋体" w:hAnsi="宋体" w:eastAsia="宋体" w:cs="宋体"/>
                <w:color w:val="000000"/>
                <w:kern w:val="0"/>
                <w:sz w:val="24"/>
                <w:szCs w:val="24"/>
                <w:lang w:bidi="ar"/>
              </w:rPr>
              <w:t>直至不得分。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信息报送材料真实的，得6分。存在与真实情况不符的，一项扣2分，直至</w:t>
            </w:r>
            <w:r>
              <w:rPr>
                <w:rFonts w:ascii="宋体" w:hAnsi="宋体" w:eastAsia="宋体" w:cs="宋体"/>
                <w:color w:val="000000"/>
                <w:kern w:val="0"/>
                <w:sz w:val="24"/>
                <w:szCs w:val="24"/>
                <w:lang w:bidi="ar"/>
              </w:rPr>
              <w:t>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820"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c>
          <w:tcPr>
            <w:tcW w:w="83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质量考核情况（40）</w:t>
            </w:r>
          </w:p>
        </w:tc>
        <w:tc>
          <w:tcPr>
            <w:tcW w:w="587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质量考核中项目考核的合格率高于90%（包含90%）的，得20分。合格率80%-90%（含80%，不含90%）的，得14分。合格率70%-80%（含70%，不含80%）的，得8分。合格率60%-70%（含60%，不含70%）的，得2分。合格率60%以下（不含）的，得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质量考核中综合考核合格的得10分，一般不合格的得5分，严重不合格的得0分。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507"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如实上报检测项目清单的，得10分。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480"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c>
          <w:tcPr>
            <w:tcW w:w="83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检测能力（30）</w:t>
            </w: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建立人才培养计划，定期组织专家授课、人员培训等。有培养计划的，得5分。有定期组织专家授课、人员培训的，得5分。满分10分。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查看相关记录。</w:t>
            </w: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标准配备齐全、满足检测工作实际需要、及时更新的得5分，每有1项不符合要求的扣1分，直至不得分。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查看标准清单</w:t>
            </w:r>
          </w:p>
        </w:tc>
      </w:tr>
      <w:tr>
        <w:tblPrEx>
          <w:tblCellMar>
            <w:top w:w="0" w:type="dxa"/>
            <w:left w:w="108" w:type="dxa"/>
            <w:bottom w:w="0" w:type="dxa"/>
            <w:right w:w="108" w:type="dxa"/>
          </w:tblCellMar>
        </w:tblPrEx>
        <w:trPr>
          <w:trHeight w:val="652" w:hRule="atLeast"/>
          <w:jc w:val="center"/>
        </w:trPr>
        <w:tc>
          <w:tcPr>
            <w:tcW w:w="565"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制定科学、详细、具体、实用的现场检测作业指导书的得5分。指导书内容不翔实的得2分。没有的不得分。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查看作业指导书</w:t>
            </w:r>
          </w:p>
        </w:tc>
      </w:tr>
      <w:tr>
        <w:tblPrEx>
          <w:tblCellMar>
            <w:top w:w="0" w:type="dxa"/>
            <w:left w:w="108" w:type="dxa"/>
            <w:bottom w:w="0" w:type="dxa"/>
            <w:right w:w="108" w:type="dxa"/>
          </w:tblCellMar>
        </w:tblPrEx>
        <w:trPr>
          <w:trHeight w:val="480" w:hRule="atLeast"/>
          <w:jc w:val="center"/>
        </w:trPr>
        <w:tc>
          <w:tcPr>
            <w:tcW w:w="565" w:type="dxa"/>
            <w:tcBorders>
              <w:top w:val="single" w:color="000000" w:sz="4" w:space="0"/>
              <w:left w:val="single" w:color="000000" w:sz="4" w:space="0"/>
              <w:bottom w:val="single" w:color="auto" w:sz="4" w:space="0"/>
              <w:right w:val="single" w:color="000000"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c>
          <w:tcPr>
            <w:tcW w:w="835" w:type="dxa"/>
            <w:vMerge w:val="continue"/>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检测设备配备齐全、满足工作实际需要的得10分，每缺少1项扣1分，直至不得分。</w:t>
            </w:r>
          </w:p>
        </w:tc>
        <w:tc>
          <w:tcPr>
            <w:tcW w:w="1940"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检测单位仪器配备标准应满足《雷电防护装置检测资质管理办法》。</w:t>
            </w:r>
            <w:r>
              <w:rPr>
                <w:rFonts w:hint="eastAsia" w:ascii="宋体" w:hAnsi="宋体" w:eastAsia="宋体" w:cs="宋体"/>
                <w:color w:val="000000"/>
                <w:kern w:val="0"/>
                <w:sz w:val="21"/>
                <w:szCs w:val="21"/>
                <w:lang w:bidi="ar"/>
              </w:rPr>
              <w:br w:type="textWrapping"/>
            </w:r>
            <w:r>
              <w:rPr>
                <w:rFonts w:hint="eastAsia" w:ascii="宋体" w:hAnsi="宋体" w:eastAsia="宋体" w:cs="宋体"/>
                <w:color w:val="000000"/>
                <w:kern w:val="0"/>
                <w:sz w:val="21"/>
                <w:szCs w:val="21"/>
                <w:lang w:bidi="ar"/>
              </w:rPr>
              <w:t>分支机构检测设备应满足工作实际需要。</w:t>
            </w:r>
          </w:p>
        </w:tc>
      </w:tr>
      <w:tr>
        <w:tblPrEx>
          <w:tblCellMar>
            <w:top w:w="0" w:type="dxa"/>
            <w:left w:w="108" w:type="dxa"/>
            <w:bottom w:w="0" w:type="dxa"/>
            <w:right w:w="108" w:type="dxa"/>
          </w:tblCellMar>
        </w:tblPrEx>
        <w:trPr>
          <w:trHeight w:val="2214" w:hRule="atLeast"/>
          <w:jc w:val="center"/>
        </w:trPr>
        <w:tc>
          <w:tcPr>
            <w:tcW w:w="56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16</w:t>
            </w:r>
          </w:p>
        </w:tc>
        <w:tc>
          <w:tcPr>
            <w:tcW w:w="835" w:type="dxa"/>
            <w:vMerge w:val="restart"/>
            <w:tcBorders>
              <w:top w:val="single" w:color="000000" w:sz="4" w:space="0"/>
              <w:left w:val="single" w:color="auto"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扣分项</w:t>
            </w: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tabs>
                <w:tab w:val="left" w:pos="312"/>
              </w:tabs>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有发现以下情况之一的，扣10分：</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1.检测标准适用错误；</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2.检测方法不正确；</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3.检测内容不全面、达不到相关技术要求或者不足以支撑雷电防护装置检测结论的；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4.检测结论不明确、不全面或错误的；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5.发现信用承诺内容与实际情况不符或违背承诺的。</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3795" w:hRule="atLeast"/>
          <w:jc w:val="center"/>
        </w:trPr>
        <w:tc>
          <w:tcPr>
            <w:tcW w:w="56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240" w:lineRule="auto"/>
              <w:jc w:val="center"/>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17</w:t>
            </w:r>
          </w:p>
        </w:tc>
        <w:tc>
          <w:tcPr>
            <w:tcW w:w="835" w:type="dxa"/>
            <w:vMerge w:val="continue"/>
            <w:tcBorders>
              <w:left w:val="single" w:color="auto"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color w:val="000000"/>
                <w:kern w:val="0"/>
                <w:sz w:val="24"/>
                <w:szCs w:val="24"/>
                <w:lang w:bidi="ar"/>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有发现以下情况之一的，扣20分：</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1.伪造、涂改、出租、出借、挂靠、转让雷电防护装置检测资质证的；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2.向监管机构隐瞒有关情况、提供虚假材料或者拒绝提供反映其活动情况的真实材料的；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3.使用不符合条件的雷电防护装置检测人员；</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4.与检测项目的设计、施工、监理单位以及所使用的防雷产品生产、销售单位有隶属单位或其他利害关系的；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5.检测人员同时在两个以上雷电防护装置检测单位兼职从业的；</w:t>
            </w:r>
          </w:p>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6.本省的检测单位设立分支机构或外省检测单位在我省从事雷电防护装置检测未按规定报告就开展检测活动的。</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c>
          <w:tcPr>
            <w:tcW w:w="835" w:type="dxa"/>
            <w:vMerge w:val="continue"/>
            <w:tcBorders>
              <w:left w:val="single" w:color="auto"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color w:val="000000"/>
                <w:kern w:val="0"/>
                <w:sz w:val="24"/>
                <w:szCs w:val="24"/>
                <w:lang w:bidi="ar"/>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日常监督检查，收到气象主管机构整改通知书并未按时完成整改的，扣20分。拒不整改的，扣30分。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652" w:hRule="atLeast"/>
          <w:jc w:val="center"/>
        </w:trPr>
        <w:tc>
          <w:tcPr>
            <w:tcW w:w="56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19</w:t>
            </w:r>
          </w:p>
        </w:tc>
        <w:tc>
          <w:tcPr>
            <w:tcW w:w="835" w:type="dxa"/>
            <w:vMerge w:val="continue"/>
            <w:tcBorders>
              <w:top w:val="single" w:color="000000" w:sz="4" w:space="0"/>
              <w:left w:val="single" w:color="auto" w:sz="4" w:space="0"/>
              <w:bottom w:val="single" w:color="000000" w:sz="4" w:space="0"/>
              <w:right w:val="single" w:color="000000" w:sz="4" w:space="0"/>
            </w:tcBorders>
            <w:noWrap w:val="0"/>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被气象主管机构立案并出具行政处罚决定书的，扣30分。</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r>
        <w:tblPrEx>
          <w:tblCellMar>
            <w:top w:w="0" w:type="dxa"/>
            <w:left w:w="108" w:type="dxa"/>
            <w:bottom w:w="0" w:type="dxa"/>
            <w:right w:w="108" w:type="dxa"/>
          </w:tblCellMar>
        </w:tblPrEx>
        <w:trPr>
          <w:trHeight w:val="2440" w:hRule="atLeast"/>
          <w:jc w:val="center"/>
        </w:trPr>
        <w:tc>
          <w:tcPr>
            <w:tcW w:w="56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240" w:lineRule="auto"/>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rPr>
              <w:t>20</w:t>
            </w:r>
          </w:p>
        </w:tc>
        <w:tc>
          <w:tcPr>
            <w:tcW w:w="835" w:type="dxa"/>
            <w:vMerge w:val="continue"/>
            <w:tcBorders>
              <w:top w:val="single" w:color="000000" w:sz="4" w:space="0"/>
              <w:left w:val="single" w:color="auto" w:sz="4" w:space="0"/>
              <w:bottom w:val="single" w:color="000000" w:sz="4" w:space="0"/>
              <w:right w:val="single" w:color="000000" w:sz="4" w:space="0"/>
            </w:tcBorders>
            <w:noWrap w:val="0"/>
            <w:vAlign w:val="center"/>
          </w:tcPr>
          <w:p>
            <w:pPr>
              <w:snapToGrid w:val="0"/>
              <w:spacing w:line="240" w:lineRule="auto"/>
              <w:jc w:val="center"/>
              <w:rPr>
                <w:rFonts w:ascii="宋体" w:hAnsi="宋体" w:eastAsia="宋体" w:cs="宋体"/>
                <w:color w:val="000000"/>
                <w:sz w:val="24"/>
                <w:szCs w:val="24"/>
              </w:rPr>
            </w:pPr>
          </w:p>
        </w:tc>
        <w:tc>
          <w:tcPr>
            <w:tcW w:w="587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有发现以下情况之一的，扣40分。</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1.遭到公民或组织投诉并造成严重不良社会影响的；</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2.进入政府相关部门或社会中介组织等征信系统“黑名单”的；</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3.因违反相关法律法规受到吊销执照等严重行政处罚的；</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4.单位存在违法行为，其法定代表人(或实际控制人)被处以有期徒刑或拘役的。</w:t>
            </w:r>
          </w:p>
        </w:tc>
        <w:tc>
          <w:tcPr>
            <w:tcW w:w="1940" w:type="dxa"/>
            <w:tcBorders>
              <w:top w:val="single" w:color="000000" w:sz="4" w:space="0"/>
              <w:left w:val="single" w:color="000000" w:sz="4" w:space="0"/>
              <w:bottom w:val="single" w:color="000000" w:sz="4" w:space="0"/>
              <w:right w:val="single" w:color="000000" w:sz="4" w:space="0"/>
            </w:tcBorders>
            <w:noWrap/>
            <w:vAlign w:val="center"/>
          </w:tcPr>
          <w:p>
            <w:pPr>
              <w:snapToGrid w:val="0"/>
              <w:spacing w:line="240" w:lineRule="auto"/>
              <w:rPr>
                <w:rFonts w:ascii="宋体" w:hAnsi="宋体" w:eastAsia="宋体" w:cs="宋体"/>
                <w:color w:val="000000"/>
                <w:sz w:val="24"/>
                <w:szCs w:val="24"/>
              </w:rPr>
            </w:pPr>
          </w:p>
        </w:tc>
      </w:tr>
    </w:tbl>
    <w:p>
      <w:pPr>
        <w:spacing w:line="560" w:lineRule="exact"/>
        <w:rPr>
          <w:rFonts w:ascii="黑体" w:hAnsi="黑体" w:eastAsia="黑体" w:cs="黑体"/>
          <w:kern w:val="0"/>
          <w:sz w:val="32"/>
          <w:szCs w:val="32"/>
        </w:rPr>
      </w:pPr>
      <w:r>
        <w:rPr>
          <w:rFonts w:hint="eastAsia" w:ascii="黑体" w:hAnsi="黑体" w:eastAsia="黑体" w:cs="黑体"/>
          <w:kern w:val="0"/>
          <w:sz w:val="32"/>
          <w:szCs w:val="32"/>
        </w:rPr>
        <w:t>附件2</w:t>
      </w:r>
    </w:p>
    <w:p>
      <w:pPr>
        <w:widowControl/>
        <w:spacing w:line="560" w:lineRule="exact"/>
        <w:jc w:val="left"/>
        <w:outlineLvl w:val="0"/>
        <w:rPr>
          <w:rFonts w:ascii="黑体" w:hAnsi="黑体" w:eastAsia="黑体" w:cs="黑体"/>
          <w:kern w:val="0"/>
          <w:sz w:val="32"/>
          <w:szCs w:val="32"/>
        </w:rPr>
      </w:pPr>
    </w:p>
    <w:p>
      <w:pPr>
        <w:widowControl/>
        <w:spacing w:line="580" w:lineRule="exact"/>
        <w:jc w:val="center"/>
        <w:rPr>
          <w:rFonts w:ascii="方正小标宋简体" w:hAnsi="方正小标宋简体" w:eastAsia="方正小标宋简体" w:cs="方正小标宋简体"/>
          <w:kern w:val="0"/>
          <w:sz w:val="36"/>
          <w:szCs w:val="36"/>
          <w:lang w:bidi="ar"/>
        </w:rPr>
      </w:pPr>
      <w:r>
        <w:rPr>
          <w:rFonts w:hint="eastAsia" w:ascii="方正小标宋简体" w:hAnsi="方正小标宋简体" w:eastAsia="方正小标宋简体" w:cs="方正小标宋简体"/>
          <w:kern w:val="0"/>
          <w:sz w:val="36"/>
          <w:szCs w:val="36"/>
          <w:lang w:bidi="ar"/>
        </w:rPr>
        <w:t>福建省雷电防护装置检测单位公共信用信息公示表</w:t>
      </w:r>
    </w:p>
    <w:tbl>
      <w:tblPr>
        <w:tblStyle w:val="6"/>
        <w:tblW w:w="9237" w:type="dxa"/>
        <w:jc w:val="center"/>
        <w:tblLayout w:type="autofit"/>
        <w:tblCellMar>
          <w:top w:w="0" w:type="dxa"/>
          <w:left w:w="108" w:type="dxa"/>
          <w:bottom w:w="0" w:type="dxa"/>
          <w:right w:w="108" w:type="dxa"/>
        </w:tblCellMar>
      </w:tblPr>
      <w:tblGrid>
        <w:gridCol w:w="1823"/>
        <w:gridCol w:w="1823"/>
        <w:gridCol w:w="1823"/>
        <w:gridCol w:w="2168"/>
        <w:gridCol w:w="1600"/>
      </w:tblGrid>
      <w:tr>
        <w:tblPrEx>
          <w:tblCellMar>
            <w:top w:w="0" w:type="dxa"/>
            <w:left w:w="108" w:type="dxa"/>
            <w:bottom w:w="0" w:type="dxa"/>
            <w:right w:w="108" w:type="dxa"/>
          </w:tblCellMar>
        </w:tblPrEx>
        <w:trPr>
          <w:trHeight w:val="737" w:hRule="atLeast"/>
          <w:jc w:val="center"/>
        </w:trPr>
        <w:tc>
          <w:tcPr>
            <w:tcW w:w="1823"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基础信息</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单位名称</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uto"/>
              <w:jc w:val="center"/>
              <w:rPr>
                <w:rFonts w:ascii="宋体" w:hAnsi="宋体" w:eastAsia="宋体" w:cs="宋体"/>
                <w:color w:val="000000"/>
                <w:sz w:val="24"/>
                <w:szCs w:val="24"/>
              </w:rPr>
            </w:pP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法定代表人/</w:t>
            </w:r>
          </w:p>
          <w:p>
            <w:pPr>
              <w:widowControl/>
              <w:snapToGrid w:val="0"/>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分支机构负责人</w:t>
            </w:r>
          </w:p>
        </w:tc>
        <w:tc>
          <w:tcPr>
            <w:tcW w:w="16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737" w:hRule="atLeast"/>
          <w:jc w:val="center"/>
        </w:trPr>
        <w:tc>
          <w:tcPr>
            <w:tcW w:w="18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sz w:val="24"/>
                <w:szCs w:val="24"/>
              </w:rPr>
            </w:pP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统一社会信用代码</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snapToGrid w:val="0"/>
              <w:spacing w:line="240" w:lineRule="auto"/>
              <w:jc w:val="center"/>
              <w:rPr>
                <w:rFonts w:ascii="宋体" w:hAnsi="宋体" w:eastAsia="宋体" w:cs="宋体"/>
                <w:color w:val="000000"/>
                <w:sz w:val="24"/>
                <w:szCs w:val="24"/>
              </w:rPr>
            </w:pP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资质等级</w:t>
            </w:r>
          </w:p>
        </w:tc>
        <w:tc>
          <w:tcPr>
            <w:tcW w:w="16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737" w:hRule="atLeast"/>
          <w:jc w:val="center"/>
        </w:trPr>
        <w:tc>
          <w:tcPr>
            <w:tcW w:w="18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sz w:val="24"/>
                <w:szCs w:val="24"/>
              </w:rPr>
            </w:pP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单位性质</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ascii="宋体" w:hAnsi="宋体" w:eastAsia="宋体" w:cs="宋体"/>
                <w:color w:val="333333"/>
                <w:sz w:val="11"/>
                <w:szCs w:val="11"/>
              </w:rPr>
            </w:pP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资质证编号</w:t>
            </w:r>
          </w:p>
        </w:tc>
        <w:tc>
          <w:tcPr>
            <w:tcW w:w="16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333333"/>
                <w:sz w:val="24"/>
                <w:szCs w:val="24"/>
              </w:rPr>
            </w:pPr>
          </w:p>
        </w:tc>
      </w:tr>
      <w:tr>
        <w:tblPrEx>
          <w:tblCellMar>
            <w:top w:w="0" w:type="dxa"/>
            <w:left w:w="108" w:type="dxa"/>
            <w:bottom w:w="0" w:type="dxa"/>
            <w:right w:w="108" w:type="dxa"/>
          </w:tblCellMar>
        </w:tblPrEx>
        <w:trPr>
          <w:trHeight w:val="737" w:hRule="atLeast"/>
          <w:jc w:val="center"/>
        </w:trPr>
        <w:tc>
          <w:tcPr>
            <w:tcW w:w="18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sz w:val="24"/>
                <w:szCs w:val="24"/>
              </w:rPr>
            </w:pP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联系电话</w:t>
            </w: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333333"/>
                <w:sz w:val="24"/>
                <w:szCs w:val="24"/>
              </w:rPr>
            </w:pPr>
          </w:p>
        </w:tc>
        <w:tc>
          <w:tcPr>
            <w:tcW w:w="216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福建省行政区域内分支机构数量</w:t>
            </w:r>
          </w:p>
        </w:tc>
        <w:tc>
          <w:tcPr>
            <w:tcW w:w="1600"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333333"/>
                <w:sz w:val="24"/>
                <w:szCs w:val="24"/>
              </w:rPr>
            </w:pPr>
          </w:p>
        </w:tc>
      </w:tr>
      <w:tr>
        <w:tblPrEx>
          <w:tblCellMar>
            <w:top w:w="0" w:type="dxa"/>
            <w:left w:w="108" w:type="dxa"/>
            <w:bottom w:w="0" w:type="dxa"/>
            <w:right w:w="108" w:type="dxa"/>
          </w:tblCellMar>
        </w:tblPrEx>
        <w:trPr>
          <w:trHeight w:val="737" w:hRule="atLeast"/>
          <w:jc w:val="center"/>
        </w:trPr>
        <w:tc>
          <w:tcPr>
            <w:tcW w:w="1823"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sz w:val="24"/>
                <w:szCs w:val="24"/>
              </w:rPr>
            </w:pPr>
          </w:p>
        </w:tc>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注册地址</w:t>
            </w:r>
          </w:p>
        </w:tc>
        <w:tc>
          <w:tcPr>
            <w:tcW w:w="5591" w:type="dxa"/>
            <w:gridSpan w:val="3"/>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ascii="宋体" w:hAnsi="宋体" w:eastAsia="宋体" w:cs="宋体"/>
                <w:color w:val="333333"/>
                <w:sz w:val="24"/>
                <w:szCs w:val="24"/>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年度报告信息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left"/>
              <w:textAlignment w:val="center"/>
              <w:rPr>
                <w:rFonts w:ascii="宋体" w:hAnsi="宋体" w:eastAsia="宋体" w:cs="宋体"/>
                <w:i/>
                <w:iCs/>
                <w:color w:val="333333"/>
                <w:sz w:val="24"/>
                <w:szCs w:val="24"/>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质量考核信息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left"/>
              <w:textAlignment w:val="center"/>
              <w:rPr>
                <w:rFonts w:ascii="宋体" w:hAnsi="宋体" w:eastAsia="宋体" w:cs="宋体"/>
                <w:i/>
                <w:iCs/>
                <w:color w:val="333333"/>
                <w:kern w:val="0"/>
                <w:sz w:val="24"/>
                <w:szCs w:val="24"/>
                <w:lang w:bidi="ar"/>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行政检查信息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color w:val="333333"/>
                <w:kern w:val="0"/>
                <w:sz w:val="24"/>
                <w:szCs w:val="24"/>
                <w:lang w:bidi="ar"/>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行政处罚信息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left"/>
              <w:textAlignment w:val="center"/>
              <w:rPr>
                <w:rFonts w:ascii="宋体" w:hAnsi="宋体" w:eastAsia="宋体" w:cs="宋体"/>
                <w:i/>
                <w:iCs/>
                <w:color w:val="333333"/>
                <w:kern w:val="0"/>
                <w:sz w:val="24"/>
                <w:szCs w:val="24"/>
                <w:lang w:bidi="ar"/>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信用承诺及其履行情况信息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after="220" w:line="240" w:lineRule="auto"/>
              <w:jc w:val="left"/>
              <w:textAlignment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专项报告</w:t>
            </w:r>
          </w:p>
          <w:p>
            <w:pPr>
              <w:widowControl/>
              <w:snapToGrid w:val="0"/>
              <w:spacing w:line="240" w:lineRule="auto"/>
              <w:jc w:val="center"/>
              <w:textAlignment w:val="center"/>
              <w:rPr>
                <w:rFonts w:hint="eastAsia" w:ascii="宋体" w:hAnsi="宋体" w:eastAsia="宋体" w:cs="宋体"/>
                <w:kern w:val="0"/>
                <w:sz w:val="24"/>
                <w:szCs w:val="24"/>
                <w:lang w:bidi="ar"/>
              </w:rPr>
            </w:pPr>
            <w:r>
              <w:rPr>
                <w:rFonts w:hint="eastAsia" w:ascii="宋体" w:hAnsi="宋体" w:eastAsia="宋体" w:cs="宋体"/>
                <w:kern w:val="0"/>
                <w:sz w:val="24"/>
                <w:szCs w:val="24"/>
                <w:lang w:bidi="ar"/>
              </w:rPr>
              <w:t>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left"/>
              <w:textAlignment w:val="center"/>
              <w:rPr>
                <w:rFonts w:ascii="宋体" w:hAnsi="宋体" w:eastAsia="宋体" w:cs="宋体"/>
                <w:color w:val="000000"/>
                <w:kern w:val="0"/>
                <w:sz w:val="24"/>
                <w:szCs w:val="24"/>
                <w:lang w:bidi="ar"/>
              </w:rPr>
            </w:pPr>
          </w:p>
        </w:tc>
      </w:tr>
      <w:tr>
        <w:tblPrEx>
          <w:tblCellMar>
            <w:top w:w="0" w:type="dxa"/>
            <w:left w:w="108" w:type="dxa"/>
            <w:bottom w:w="0" w:type="dxa"/>
            <w:right w:w="108" w:type="dxa"/>
          </w:tblCellMar>
        </w:tblPrEx>
        <w:trPr>
          <w:trHeight w:val="850" w:hRule="exact"/>
          <w:jc w:val="center"/>
        </w:trPr>
        <w:tc>
          <w:tcPr>
            <w:tcW w:w="1823"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center"/>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信用评价信息</w:t>
            </w:r>
          </w:p>
        </w:tc>
        <w:tc>
          <w:tcPr>
            <w:tcW w:w="7414"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auto"/>
              <w:jc w:val="left"/>
              <w:textAlignment w:val="center"/>
              <w:rPr>
                <w:rFonts w:ascii="宋体" w:hAnsi="宋体" w:eastAsia="宋体" w:cs="宋体"/>
                <w:color w:val="000000"/>
                <w:kern w:val="0"/>
                <w:sz w:val="24"/>
                <w:szCs w:val="24"/>
                <w:lang w:bidi="ar"/>
              </w:rPr>
            </w:pPr>
          </w:p>
        </w:tc>
      </w:tr>
    </w:tbl>
    <w:p>
      <w:pPr>
        <w:snapToGrid w:val="0"/>
        <w:spacing w:line="576" w:lineRule="exact"/>
        <w:ind w:right="1264" w:rightChars="400"/>
        <w:rPr>
          <w:rFonts w:hint="eastAsia" w:ascii="仿宋_GB2312"/>
          <w:spacing w:val="-6"/>
        </w:rPr>
      </w:pPr>
    </w:p>
    <w:sectPr>
      <w:headerReference r:id="rId5" w:type="default"/>
      <w:footerReference r:id="rId6" w:type="default"/>
      <w:footerReference r:id="rId7" w:type="even"/>
      <w:pgSz w:w="11906" w:h="16838"/>
      <w:pgMar w:top="2132" w:right="1503" w:bottom="2002" w:left="1548" w:header="851" w:footer="1418" w:gutter="0"/>
      <w:pgNumType w:chapSep="emDash"/>
      <w:cols w:space="720" w:num="1"/>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3 of 9 Barcode"/>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3 of 9 Barcode"/>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w:altName w:val="Times New Roman"/>
    <w:panose1 w:val="020B0604020202020204"/>
    <w:charset w:val="00"/>
    <w:family w:val="swiss"/>
    <w:pitch w:val="default"/>
    <w:sig w:usb0="E0002EFF" w:usb1="C000785B" w:usb2="00000009" w:usb3="00000000" w:csb0="400001FF" w:csb1="FFFF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620" w:wrap="around" w:vAnchor="text" w:hAnchor="page" w:x="8701" w:y="56"/>
      <w:ind w:left="340"/>
      <w:rPr>
        <w:rStyle w:val="9"/>
        <w:sz w:val="28"/>
      </w:rPr>
    </w:pPr>
    <w:r>
      <w:rPr>
        <w:rStyle w:val="9"/>
        <w:sz w:val="28"/>
      </w:rPr>
      <w:t xml:space="preserve">— </w:t>
    </w:r>
    <w:r>
      <w:rPr>
        <w:rFonts w:ascii="宋体" w:hAnsi="宋体" w:eastAsia="宋体"/>
        <w:sz w:val="28"/>
      </w:rPr>
      <w:fldChar w:fldCharType="begin"/>
    </w:r>
    <w:r>
      <w:rPr>
        <w:rStyle w:val="9"/>
        <w:rFonts w:ascii="宋体" w:hAnsi="宋体" w:eastAsia="宋体"/>
        <w:sz w:val="28"/>
      </w:rPr>
      <w:instrText xml:space="preserve">PAGE  </w:instrText>
    </w:r>
    <w:r>
      <w:rPr>
        <w:rFonts w:ascii="宋体" w:hAnsi="宋体" w:eastAsia="宋体"/>
        <w:sz w:val="28"/>
      </w:rPr>
      <w:fldChar w:fldCharType="separate"/>
    </w:r>
    <w:r>
      <w:rPr>
        <w:rStyle w:val="9"/>
        <w:rFonts w:ascii="宋体" w:hAnsi="宋体" w:eastAsia="宋体"/>
        <w:sz w:val="28"/>
        <w:lang/>
      </w:rPr>
      <w:t>1</w:t>
    </w:r>
    <w:r>
      <w:rPr>
        <w:rFonts w:ascii="宋体" w:hAnsi="宋体" w:eastAsia="宋体"/>
        <w:sz w:val="28"/>
      </w:rPr>
      <w:fldChar w:fldCharType="end"/>
    </w:r>
    <w:r>
      <w:rPr>
        <w:rStyle w:val="9"/>
        <w:sz w:val="28"/>
      </w:rPr>
      <w:t xml:space="preserve"> —</w:t>
    </w:r>
  </w:p>
  <w:p>
    <w:pPr>
      <w:pStyle w:val="3"/>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1620" w:wrap="around" w:vAnchor="text" w:hAnchor="page" w:x="1551" w:y="116"/>
      <w:spacing w:line="280" w:lineRule="exact"/>
      <w:ind w:left="340"/>
      <w:rPr>
        <w:rStyle w:val="9"/>
        <w:sz w:val="28"/>
      </w:rPr>
    </w:pPr>
    <w:r>
      <w:rPr>
        <w:rStyle w:val="9"/>
        <w:sz w:val="28"/>
      </w:rPr>
      <w:t xml:space="preserve">— </w:t>
    </w:r>
    <w:r>
      <w:rPr>
        <w:rFonts w:ascii="宋体" w:hAnsi="宋体" w:eastAsia="宋体"/>
        <w:sz w:val="28"/>
      </w:rPr>
      <w:fldChar w:fldCharType="begin"/>
    </w:r>
    <w:r>
      <w:rPr>
        <w:rStyle w:val="9"/>
        <w:rFonts w:ascii="宋体" w:hAnsi="宋体" w:eastAsia="宋体"/>
        <w:sz w:val="28"/>
      </w:rPr>
      <w:instrText xml:space="preserve">PAGE  </w:instrText>
    </w:r>
    <w:r>
      <w:rPr>
        <w:rFonts w:ascii="宋体" w:hAnsi="宋体" w:eastAsia="宋体"/>
        <w:sz w:val="28"/>
      </w:rPr>
      <w:fldChar w:fldCharType="separate"/>
    </w:r>
    <w:r>
      <w:rPr>
        <w:rStyle w:val="9"/>
        <w:rFonts w:ascii="宋体" w:hAnsi="宋体" w:eastAsia="宋体"/>
        <w:sz w:val="28"/>
        <w:lang/>
      </w:rPr>
      <w:t>2</w:t>
    </w:r>
    <w:r>
      <w:rPr>
        <w:rFonts w:ascii="宋体" w:hAnsi="宋体" w:eastAsia="宋体"/>
        <w:sz w:val="28"/>
      </w:rPr>
      <w:fldChar w:fldCharType="end"/>
    </w:r>
    <w:r>
      <w:rPr>
        <w:rStyle w:val="9"/>
        <w:sz w:val="28"/>
      </w:rPr>
      <w:t xml:space="preserve"> —</w:t>
    </w:r>
  </w:p>
  <w:p>
    <w:pPr>
      <w:pStyle w:val="3"/>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257272"/>
    <w:multiLevelType w:val="multilevel"/>
    <w:tmpl w:val="46257272"/>
    <w:lvl w:ilvl="0" w:tentative="0">
      <w:start w:val="1"/>
      <w:numFmt w:val="decimal"/>
      <w:lvlText w:val="%1."/>
      <w:lvlJc w:val="left"/>
      <w:pPr>
        <w:ind w:left="425" w:hanging="425"/>
      </w:pPr>
      <w:rPr>
        <w:rFonts w:hint="default"/>
      </w:rPr>
    </w:lvl>
    <w:lvl w:ilvl="1" w:tentative="0">
      <w:start w:val="1"/>
      <w:numFmt w:val="decimal"/>
      <w:pStyle w:val="2"/>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trackRevisions w:val="1"/>
  <w:documentProtection w:enforcement="0"/>
  <w:defaultTabStop w:val="420"/>
  <w:hyphenationZone w:val="360"/>
  <w:evenAndOddHeaders w:val="1"/>
  <w:drawingGridVerticalSpacing w:val="156"/>
  <w:displayHorizontalDrawingGridEvery w:val="0"/>
  <w:displayVerticalDrawingGridEvery w:val="2"/>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zMGM1MWZlM2JiNjUzMzZhN2MwZjJlODUyMDY1NzQifQ=="/>
  </w:docVars>
  <w:rsids>
    <w:rsidRoot w:val="08C92EAB"/>
    <w:rsid w:val="0002176B"/>
    <w:rsid w:val="000305A4"/>
    <w:rsid w:val="000477AD"/>
    <w:rsid w:val="00095D02"/>
    <w:rsid w:val="000978C3"/>
    <w:rsid w:val="000D44E8"/>
    <w:rsid w:val="000E270E"/>
    <w:rsid w:val="000F31FB"/>
    <w:rsid w:val="0011390E"/>
    <w:rsid w:val="001173BE"/>
    <w:rsid w:val="00176C01"/>
    <w:rsid w:val="0019446A"/>
    <w:rsid w:val="001A2864"/>
    <w:rsid w:val="00275C5D"/>
    <w:rsid w:val="00277CD6"/>
    <w:rsid w:val="002A1EF3"/>
    <w:rsid w:val="002E3BD1"/>
    <w:rsid w:val="00320D30"/>
    <w:rsid w:val="00337A49"/>
    <w:rsid w:val="0037720E"/>
    <w:rsid w:val="003853C2"/>
    <w:rsid w:val="003B09B3"/>
    <w:rsid w:val="003B60B2"/>
    <w:rsid w:val="003E5300"/>
    <w:rsid w:val="003F5236"/>
    <w:rsid w:val="0040651B"/>
    <w:rsid w:val="00423A80"/>
    <w:rsid w:val="00441C89"/>
    <w:rsid w:val="0045778A"/>
    <w:rsid w:val="00472936"/>
    <w:rsid w:val="00472B33"/>
    <w:rsid w:val="004B4E75"/>
    <w:rsid w:val="004C1508"/>
    <w:rsid w:val="00535D7E"/>
    <w:rsid w:val="00535E4E"/>
    <w:rsid w:val="00550D88"/>
    <w:rsid w:val="005847DE"/>
    <w:rsid w:val="005A454F"/>
    <w:rsid w:val="005B26FA"/>
    <w:rsid w:val="005F25E4"/>
    <w:rsid w:val="00626FDB"/>
    <w:rsid w:val="00647061"/>
    <w:rsid w:val="00665FEB"/>
    <w:rsid w:val="0069584F"/>
    <w:rsid w:val="006D0BD3"/>
    <w:rsid w:val="0075386D"/>
    <w:rsid w:val="00754685"/>
    <w:rsid w:val="00757112"/>
    <w:rsid w:val="00783DE9"/>
    <w:rsid w:val="00796517"/>
    <w:rsid w:val="007C4486"/>
    <w:rsid w:val="007C7406"/>
    <w:rsid w:val="007F2082"/>
    <w:rsid w:val="008224E7"/>
    <w:rsid w:val="008437BD"/>
    <w:rsid w:val="0085434E"/>
    <w:rsid w:val="00854479"/>
    <w:rsid w:val="008612D3"/>
    <w:rsid w:val="0087687E"/>
    <w:rsid w:val="008C2743"/>
    <w:rsid w:val="00901212"/>
    <w:rsid w:val="00903912"/>
    <w:rsid w:val="009132FC"/>
    <w:rsid w:val="009352DA"/>
    <w:rsid w:val="0095018D"/>
    <w:rsid w:val="0096088F"/>
    <w:rsid w:val="009A6504"/>
    <w:rsid w:val="009C0B23"/>
    <w:rsid w:val="009D532B"/>
    <w:rsid w:val="009D59B5"/>
    <w:rsid w:val="00A070EC"/>
    <w:rsid w:val="00A12AE1"/>
    <w:rsid w:val="00A201EF"/>
    <w:rsid w:val="00A554F5"/>
    <w:rsid w:val="00A85721"/>
    <w:rsid w:val="00A90F2B"/>
    <w:rsid w:val="00AB3C7D"/>
    <w:rsid w:val="00AC28AD"/>
    <w:rsid w:val="00AC3CD3"/>
    <w:rsid w:val="00AC4540"/>
    <w:rsid w:val="00AE239C"/>
    <w:rsid w:val="00AF14A9"/>
    <w:rsid w:val="00B017A9"/>
    <w:rsid w:val="00B051D4"/>
    <w:rsid w:val="00B07A44"/>
    <w:rsid w:val="00B53C93"/>
    <w:rsid w:val="00B732E2"/>
    <w:rsid w:val="00B74E14"/>
    <w:rsid w:val="00B976B6"/>
    <w:rsid w:val="00BA1831"/>
    <w:rsid w:val="00BD1BF0"/>
    <w:rsid w:val="00BF0257"/>
    <w:rsid w:val="00BF235F"/>
    <w:rsid w:val="00C403D1"/>
    <w:rsid w:val="00C524BB"/>
    <w:rsid w:val="00C61FD7"/>
    <w:rsid w:val="00C80C3E"/>
    <w:rsid w:val="00C90F02"/>
    <w:rsid w:val="00C93ECB"/>
    <w:rsid w:val="00CB33B1"/>
    <w:rsid w:val="00D00076"/>
    <w:rsid w:val="00D35580"/>
    <w:rsid w:val="00D360B6"/>
    <w:rsid w:val="00D57662"/>
    <w:rsid w:val="00DA451A"/>
    <w:rsid w:val="00DF6512"/>
    <w:rsid w:val="00E168F8"/>
    <w:rsid w:val="00E619DA"/>
    <w:rsid w:val="00F01B72"/>
    <w:rsid w:val="00F0466C"/>
    <w:rsid w:val="00F23051"/>
    <w:rsid w:val="00F23469"/>
    <w:rsid w:val="00F9194E"/>
    <w:rsid w:val="00FA5322"/>
    <w:rsid w:val="00FC741F"/>
    <w:rsid w:val="01333222"/>
    <w:rsid w:val="0135338B"/>
    <w:rsid w:val="013577A3"/>
    <w:rsid w:val="0146192E"/>
    <w:rsid w:val="01622D1A"/>
    <w:rsid w:val="01835062"/>
    <w:rsid w:val="01B30BA1"/>
    <w:rsid w:val="01F57548"/>
    <w:rsid w:val="021F67A7"/>
    <w:rsid w:val="0228090B"/>
    <w:rsid w:val="0230676E"/>
    <w:rsid w:val="02323962"/>
    <w:rsid w:val="02A920A7"/>
    <w:rsid w:val="02AB079D"/>
    <w:rsid w:val="02BB7AD1"/>
    <w:rsid w:val="02D870EA"/>
    <w:rsid w:val="02D93665"/>
    <w:rsid w:val="02F123AA"/>
    <w:rsid w:val="02F36FE1"/>
    <w:rsid w:val="030B6B5B"/>
    <w:rsid w:val="030F04C1"/>
    <w:rsid w:val="03421BA2"/>
    <w:rsid w:val="03453977"/>
    <w:rsid w:val="035036E5"/>
    <w:rsid w:val="03B767E5"/>
    <w:rsid w:val="03C4406A"/>
    <w:rsid w:val="03D968C3"/>
    <w:rsid w:val="040223F0"/>
    <w:rsid w:val="040524F9"/>
    <w:rsid w:val="042F1EE5"/>
    <w:rsid w:val="04384124"/>
    <w:rsid w:val="043E70CA"/>
    <w:rsid w:val="04622E33"/>
    <w:rsid w:val="04652DE3"/>
    <w:rsid w:val="048A503A"/>
    <w:rsid w:val="04A800F3"/>
    <w:rsid w:val="04C67D7F"/>
    <w:rsid w:val="04D2777C"/>
    <w:rsid w:val="04F458A1"/>
    <w:rsid w:val="0515523E"/>
    <w:rsid w:val="0523008F"/>
    <w:rsid w:val="05263C38"/>
    <w:rsid w:val="05317CD8"/>
    <w:rsid w:val="054C65BE"/>
    <w:rsid w:val="05562658"/>
    <w:rsid w:val="058D3981"/>
    <w:rsid w:val="05A009AF"/>
    <w:rsid w:val="05D624AE"/>
    <w:rsid w:val="05DC6AF7"/>
    <w:rsid w:val="05E2133B"/>
    <w:rsid w:val="05FE2402"/>
    <w:rsid w:val="06053AC5"/>
    <w:rsid w:val="0628600D"/>
    <w:rsid w:val="0628738F"/>
    <w:rsid w:val="0629320D"/>
    <w:rsid w:val="0640042F"/>
    <w:rsid w:val="067847A5"/>
    <w:rsid w:val="0681305A"/>
    <w:rsid w:val="069445AB"/>
    <w:rsid w:val="06972446"/>
    <w:rsid w:val="06D27F6E"/>
    <w:rsid w:val="07205EA5"/>
    <w:rsid w:val="073A515F"/>
    <w:rsid w:val="075B56D8"/>
    <w:rsid w:val="076C0DF4"/>
    <w:rsid w:val="077D7D93"/>
    <w:rsid w:val="078D5132"/>
    <w:rsid w:val="07A755CF"/>
    <w:rsid w:val="07C14A93"/>
    <w:rsid w:val="08015ABE"/>
    <w:rsid w:val="080B2E91"/>
    <w:rsid w:val="081B4E13"/>
    <w:rsid w:val="08226593"/>
    <w:rsid w:val="082A64D7"/>
    <w:rsid w:val="083D093E"/>
    <w:rsid w:val="0844323C"/>
    <w:rsid w:val="084A299E"/>
    <w:rsid w:val="08750FB0"/>
    <w:rsid w:val="087A7D20"/>
    <w:rsid w:val="087D2DD3"/>
    <w:rsid w:val="08815D51"/>
    <w:rsid w:val="088C0A10"/>
    <w:rsid w:val="08911701"/>
    <w:rsid w:val="08B70825"/>
    <w:rsid w:val="08B936EC"/>
    <w:rsid w:val="08C92EAB"/>
    <w:rsid w:val="091A29B6"/>
    <w:rsid w:val="09313418"/>
    <w:rsid w:val="093F33A1"/>
    <w:rsid w:val="09593C87"/>
    <w:rsid w:val="09670CCB"/>
    <w:rsid w:val="09742B79"/>
    <w:rsid w:val="09A92A6D"/>
    <w:rsid w:val="0AE337D7"/>
    <w:rsid w:val="0AE72DE1"/>
    <w:rsid w:val="0AF463D3"/>
    <w:rsid w:val="0AFC2A0D"/>
    <w:rsid w:val="0AFD1DA6"/>
    <w:rsid w:val="0B03565B"/>
    <w:rsid w:val="0B217776"/>
    <w:rsid w:val="0B254312"/>
    <w:rsid w:val="0B2B58EA"/>
    <w:rsid w:val="0B5231B0"/>
    <w:rsid w:val="0B53746A"/>
    <w:rsid w:val="0B7E03AE"/>
    <w:rsid w:val="0BA25756"/>
    <w:rsid w:val="0BD100C1"/>
    <w:rsid w:val="0BF7118C"/>
    <w:rsid w:val="0C2639C7"/>
    <w:rsid w:val="0C36379F"/>
    <w:rsid w:val="0C3F62E0"/>
    <w:rsid w:val="0C4C6AF2"/>
    <w:rsid w:val="0C6F2ED5"/>
    <w:rsid w:val="0C78675F"/>
    <w:rsid w:val="0C8A6A8D"/>
    <w:rsid w:val="0CAB2592"/>
    <w:rsid w:val="0CAC1670"/>
    <w:rsid w:val="0CB2368A"/>
    <w:rsid w:val="0CBA4B16"/>
    <w:rsid w:val="0CBD60F3"/>
    <w:rsid w:val="0CC17C35"/>
    <w:rsid w:val="0CDB4023"/>
    <w:rsid w:val="0CDC027E"/>
    <w:rsid w:val="0CE04496"/>
    <w:rsid w:val="0CEB0CD5"/>
    <w:rsid w:val="0D1579B1"/>
    <w:rsid w:val="0D201035"/>
    <w:rsid w:val="0D334616"/>
    <w:rsid w:val="0D396962"/>
    <w:rsid w:val="0D4E41E6"/>
    <w:rsid w:val="0D695BB4"/>
    <w:rsid w:val="0D6D366E"/>
    <w:rsid w:val="0D7F6732"/>
    <w:rsid w:val="0D885D2F"/>
    <w:rsid w:val="0DA31D80"/>
    <w:rsid w:val="0DD610FC"/>
    <w:rsid w:val="0DDD141F"/>
    <w:rsid w:val="0DE76222"/>
    <w:rsid w:val="0DE80674"/>
    <w:rsid w:val="0E2904EC"/>
    <w:rsid w:val="0E312C61"/>
    <w:rsid w:val="0E401D8E"/>
    <w:rsid w:val="0E4B0DE8"/>
    <w:rsid w:val="0E6450A8"/>
    <w:rsid w:val="0E6B3CAF"/>
    <w:rsid w:val="0EB017D9"/>
    <w:rsid w:val="0EB61CC7"/>
    <w:rsid w:val="0ECA74F1"/>
    <w:rsid w:val="0EFFB508"/>
    <w:rsid w:val="0F162295"/>
    <w:rsid w:val="0F2A1549"/>
    <w:rsid w:val="0F3001A2"/>
    <w:rsid w:val="0F3D0DD6"/>
    <w:rsid w:val="0F421943"/>
    <w:rsid w:val="0F4E2865"/>
    <w:rsid w:val="0F6559D0"/>
    <w:rsid w:val="0F6C7B77"/>
    <w:rsid w:val="0F902028"/>
    <w:rsid w:val="0FC83918"/>
    <w:rsid w:val="0FCD680D"/>
    <w:rsid w:val="0FF20521"/>
    <w:rsid w:val="102135AC"/>
    <w:rsid w:val="102764E9"/>
    <w:rsid w:val="104C1F24"/>
    <w:rsid w:val="1068120D"/>
    <w:rsid w:val="10736D3C"/>
    <w:rsid w:val="107A03B1"/>
    <w:rsid w:val="10AE0F47"/>
    <w:rsid w:val="10B22B46"/>
    <w:rsid w:val="10C613C3"/>
    <w:rsid w:val="10E13750"/>
    <w:rsid w:val="10F107B4"/>
    <w:rsid w:val="10F806D1"/>
    <w:rsid w:val="110F6931"/>
    <w:rsid w:val="11252793"/>
    <w:rsid w:val="11475A71"/>
    <w:rsid w:val="115671E5"/>
    <w:rsid w:val="11750BFE"/>
    <w:rsid w:val="11907F71"/>
    <w:rsid w:val="11944D95"/>
    <w:rsid w:val="11C65DAB"/>
    <w:rsid w:val="11C73BB0"/>
    <w:rsid w:val="11D26032"/>
    <w:rsid w:val="11DD4B82"/>
    <w:rsid w:val="123F55C0"/>
    <w:rsid w:val="1255119C"/>
    <w:rsid w:val="125E350D"/>
    <w:rsid w:val="127F6881"/>
    <w:rsid w:val="128550BC"/>
    <w:rsid w:val="129F26A9"/>
    <w:rsid w:val="13214CA8"/>
    <w:rsid w:val="132C6870"/>
    <w:rsid w:val="132D7D61"/>
    <w:rsid w:val="13501CD8"/>
    <w:rsid w:val="13650DBD"/>
    <w:rsid w:val="1379293F"/>
    <w:rsid w:val="1383538C"/>
    <w:rsid w:val="1392572F"/>
    <w:rsid w:val="13BA5671"/>
    <w:rsid w:val="13BD7056"/>
    <w:rsid w:val="13DC2471"/>
    <w:rsid w:val="14192D07"/>
    <w:rsid w:val="141A4854"/>
    <w:rsid w:val="14294DFC"/>
    <w:rsid w:val="143719F2"/>
    <w:rsid w:val="144535AD"/>
    <w:rsid w:val="144B42DD"/>
    <w:rsid w:val="1467737F"/>
    <w:rsid w:val="147B0990"/>
    <w:rsid w:val="14972D5B"/>
    <w:rsid w:val="14A1280F"/>
    <w:rsid w:val="14A441DA"/>
    <w:rsid w:val="14AA4A05"/>
    <w:rsid w:val="14B4717D"/>
    <w:rsid w:val="14C35207"/>
    <w:rsid w:val="151A17C6"/>
    <w:rsid w:val="1550564D"/>
    <w:rsid w:val="159D746E"/>
    <w:rsid w:val="15BF77C1"/>
    <w:rsid w:val="15C02F26"/>
    <w:rsid w:val="15DE49EB"/>
    <w:rsid w:val="15DF3E85"/>
    <w:rsid w:val="15EA7A63"/>
    <w:rsid w:val="161A15C7"/>
    <w:rsid w:val="163A20CE"/>
    <w:rsid w:val="163F12FF"/>
    <w:rsid w:val="1654082D"/>
    <w:rsid w:val="168D0C02"/>
    <w:rsid w:val="16E36C97"/>
    <w:rsid w:val="16F4125E"/>
    <w:rsid w:val="170C7DD3"/>
    <w:rsid w:val="1727CB60"/>
    <w:rsid w:val="174911B7"/>
    <w:rsid w:val="175519A4"/>
    <w:rsid w:val="17637078"/>
    <w:rsid w:val="17780DA8"/>
    <w:rsid w:val="177863D4"/>
    <w:rsid w:val="177A1E18"/>
    <w:rsid w:val="17824F99"/>
    <w:rsid w:val="1799547D"/>
    <w:rsid w:val="17E61B08"/>
    <w:rsid w:val="17EC24C6"/>
    <w:rsid w:val="17F56342"/>
    <w:rsid w:val="181F35F5"/>
    <w:rsid w:val="18371C07"/>
    <w:rsid w:val="184963C3"/>
    <w:rsid w:val="18972B34"/>
    <w:rsid w:val="18974087"/>
    <w:rsid w:val="189B04A4"/>
    <w:rsid w:val="18A64260"/>
    <w:rsid w:val="190C4780"/>
    <w:rsid w:val="19196C29"/>
    <w:rsid w:val="194207F0"/>
    <w:rsid w:val="19446D78"/>
    <w:rsid w:val="195C05FA"/>
    <w:rsid w:val="195F6678"/>
    <w:rsid w:val="19623EA8"/>
    <w:rsid w:val="196850D6"/>
    <w:rsid w:val="19A03DE0"/>
    <w:rsid w:val="1A2C78E4"/>
    <w:rsid w:val="1A3934B9"/>
    <w:rsid w:val="1A503502"/>
    <w:rsid w:val="1A647502"/>
    <w:rsid w:val="1A6C0134"/>
    <w:rsid w:val="1A731E6D"/>
    <w:rsid w:val="1A9C2990"/>
    <w:rsid w:val="1AB0724E"/>
    <w:rsid w:val="1AB379DB"/>
    <w:rsid w:val="1AB57DC4"/>
    <w:rsid w:val="1AD12091"/>
    <w:rsid w:val="1B1C1C77"/>
    <w:rsid w:val="1B2107B7"/>
    <w:rsid w:val="1B577CF3"/>
    <w:rsid w:val="1B7318B0"/>
    <w:rsid w:val="1B7D64BE"/>
    <w:rsid w:val="1B822685"/>
    <w:rsid w:val="1B9836FB"/>
    <w:rsid w:val="1BA23141"/>
    <w:rsid w:val="1BD65F97"/>
    <w:rsid w:val="1C03245A"/>
    <w:rsid w:val="1C242584"/>
    <w:rsid w:val="1C321F44"/>
    <w:rsid w:val="1C5F3D0A"/>
    <w:rsid w:val="1C8978FD"/>
    <w:rsid w:val="1C8F6A53"/>
    <w:rsid w:val="1CA962B0"/>
    <w:rsid w:val="1CC52329"/>
    <w:rsid w:val="1CE16343"/>
    <w:rsid w:val="1CFD185E"/>
    <w:rsid w:val="1D1500F1"/>
    <w:rsid w:val="1D3D1C69"/>
    <w:rsid w:val="1D5B23C2"/>
    <w:rsid w:val="1D5C7508"/>
    <w:rsid w:val="1D6C0BD0"/>
    <w:rsid w:val="1D8328F0"/>
    <w:rsid w:val="1D996D12"/>
    <w:rsid w:val="1DA020DF"/>
    <w:rsid w:val="1DAC0AB0"/>
    <w:rsid w:val="1DB436E3"/>
    <w:rsid w:val="1DBC2AF4"/>
    <w:rsid w:val="1DBE4622"/>
    <w:rsid w:val="1DCC3565"/>
    <w:rsid w:val="1DE519C7"/>
    <w:rsid w:val="1DE83F00"/>
    <w:rsid w:val="1DF10CC8"/>
    <w:rsid w:val="1DF64512"/>
    <w:rsid w:val="1E0D5F23"/>
    <w:rsid w:val="1E2E5659"/>
    <w:rsid w:val="1E350F84"/>
    <w:rsid w:val="1E8F4447"/>
    <w:rsid w:val="1EA57BF1"/>
    <w:rsid w:val="1EBD3927"/>
    <w:rsid w:val="1EC00460"/>
    <w:rsid w:val="1EDFE11C"/>
    <w:rsid w:val="1EE85982"/>
    <w:rsid w:val="1EE93536"/>
    <w:rsid w:val="1EF75A56"/>
    <w:rsid w:val="1F0279FD"/>
    <w:rsid w:val="1F0908B6"/>
    <w:rsid w:val="1F1B58CD"/>
    <w:rsid w:val="1F23425A"/>
    <w:rsid w:val="1F291D14"/>
    <w:rsid w:val="1F421F91"/>
    <w:rsid w:val="1F4504EE"/>
    <w:rsid w:val="1F8C3D8A"/>
    <w:rsid w:val="1F8C66D7"/>
    <w:rsid w:val="1F9C0E0A"/>
    <w:rsid w:val="1FB25ED9"/>
    <w:rsid w:val="1FB52084"/>
    <w:rsid w:val="1FB5334B"/>
    <w:rsid w:val="1FD11B2A"/>
    <w:rsid w:val="200B7547"/>
    <w:rsid w:val="200D62FF"/>
    <w:rsid w:val="201552A3"/>
    <w:rsid w:val="20421642"/>
    <w:rsid w:val="206970EB"/>
    <w:rsid w:val="207368F6"/>
    <w:rsid w:val="20782063"/>
    <w:rsid w:val="20866ED6"/>
    <w:rsid w:val="20883C13"/>
    <w:rsid w:val="20A8753C"/>
    <w:rsid w:val="20C526C6"/>
    <w:rsid w:val="20CA1453"/>
    <w:rsid w:val="20E27FC1"/>
    <w:rsid w:val="20F2135A"/>
    <w:rsid w:val="20FB2731"/>
    <w:rsid w:val="210C5A34"/>
    <w:rsid w:val="213C647C"/>
    <w:rsid w:val="2142004E"/>
    <w:rsid w:val="21560B2C"/>
    <w:rsid w:val="216F7864"/>
    <w:rsid w:val="218F061B"/>
    <w:rsid w:val="220B7D6B"/>
    <w:rsid w:val="221502DF"/>
    <w:rsid w:val="221E7220"/>
    <w:rsid w:val="222A1999"/>
    <w:rsid w:val="227C3787"/>
    <w:rsid w:val="227E30DF"/>
    <w:rsid w:val="229266B9"/>
    <w:rsid w:val="229C5B04"/>
    <w:rsid w:val="229F0E2A"/>
    <w:rsid w:val="22C51902"/>
    <w:rsid w:val="22D56B4E"/>
    <w:rsid w:val="22FD444E"/>
    <w:rsid w:val="2306609D"/>
    <w:rsid w:val="23307C20"/>
    <w:rsid w:val="233217B7"/>
    <w:rsid w:val="23377F46"/>
    <w:rsid w:val="2366683C"/>
    <w:rsid w:val="23685E19"/>
    <w:rsid w:val="23766BBC"/>
    <w:rsid w:val="23847009"/>
    <w:rsid w:val="23862E6A"/>
    <w:rsid w:val="2387723F"/>
    <w:rsid w:val="23884E5B"/>
    <w:rsid w:val="238C675C"/>
    <w:rsid w:val="23AF5908"/>
    <w:rsid w:val="23C9287C"/>
    <w:rsid w:val="23CE4C5A"/>
    <w:rsid w:val="23EC3D3C"/>
    <w:rsid w:val="24832692"/>
    <w:rsid w:val="249163AC"/>
    <w:rsid w:val="24C03332"/>
    <w:rsid w:val="24C96E92"/>
    <w:rsid w:val="24D707DC"/>
    <w:rsid w:val="24F67AC9"/>
    <w:rsid w:val="24FA4EB1"/>
    <w:rsid w:val="25175C97"/>
    <w:rsid w:val="2553176C"/>
    <w:rsid w:val="255C6A58"/>
    <w:rsid w:val="25BF5B07"/>
    <w:rsid w:val="25D86CDF"/>
    <w:rsid w:val="260A07FB"/>
    <w:rsid w:val="261312CE"/>
    <w:rsid w:val="26445CFB"/>
    <w:rsid w:val="2650151A"/>
    <w:rsid w:val="26566CD9"/>
    <w:rsid w:val="26970B7D"/>
    <w:rsid w:val="26B11E4A"/>
    <w:rsid w:val="26B53353"/>
    <w:rsid w:val="26BD6CC4"/>
    <w:rsid w:val="26DC36CD"/>
    <w:rsid w:val="270B25AF"/>
    <w:rsid w:val="270C0914"/>
    <w:rsid w:val="27361CEE"/>
    <w:rsid w:val="27823F13"/>
    <w:rsid w:val="27AC2920"/>
    <w:rsid w:val="27C548D6"/>
    <w:rsid w:val="27E95CFF"/>
    <w:rsid w:val="28051A75"/>
    <w:rsid w:val="280F3CE3"/>
    <w:rsid w:val="28464AFC"/>
    <w:rsid w:val="286317C4"/>
    <w:rsid w:val="28713F4C"/>
    <w:rsid w:val="28A74D0D"/>
    <w:rsid w:val="28B4631B"/>
    <w:rsid w:val="28BE5877"/>
    <w:rsid w:val="28C567C4"/>
    <w:rsid w:val="28C84E53"/>
    <w:rsid w:val="28CE21A1"/>
    <w:rsid w:val="291F4402"/>
    <w:rsid w:val="29221A68"/>
    <w:rsid w:val="29591ADD"/>
    <w:rsid w:val="29660BDB"/>
    <w:rsid w:val="296C4E3A"/>
    <w:rsid w:val="29886394"/>
    <w:rsid w:val="29A07E16"/>
    <w:rsid w:val="29A633A7"/>
    <w:rsid w:val="29B42292"/>
    <w:rsid w:val="29B42A8C"/>
    <w:rsid w:val="29DF29A3"/>
    <w:rsid w:val="29F006ED"/>
    <w:rsid w:val="2A04409B"/>
    <w:rsid w:val="2A0E6427"/>
    <w:rsid w:val="2A301B5F"/>
    <w:rsid w:val="2A564B7A"/>
    <w:rsid w:val="2A5B659D"/>
    <w:rsid w:val="2A821140"/>
    <w:rsid w:val="2A8F73FB"/>
    <w:rsid w:val="2A92674D"/>
    <w:rsid w:val="2A963314"/>
    <w:rsid w:val="2AA60D68"/>
    <w:rsid w:val="2ABB252E"/>
    <w:rsid w:val="2ABF6934"/>
    <w:rsid w:val="2ACE46D0"/>
    <w:rsid w:val="2ADA278B"/>
    <w:rsid w:val="2B1A5949"/>
    <w:rsid w:val="2B2560D3"/>
    <w:rsid w:val="2B496BC7"/>
    <w:rsid w:val="2B560B93"/>
    <w:rsid w:val="2B6534D5"/>
    <w:rsid w:val="2B754B78"/>
    <w:rsid w:val="2B782B04"/>
    <w:rsid w:val="2B7B3E8A"/>
    <w:rsid w:val="2B901B3E"/>
    <w:rsid w:val="2B955E14"/>
    <w:rsid w:val="2B9F0C40"/>
    <w:rsid w:val="2BD52DF6"/>
    <w:rsid w:val="2BED31B5"/>
    <w:rsid w:val="2BFD1576"/>
    <w:rsid w:val="2C00781E"/>
    <w:rsid w:val="2C0A69F1"/>
    <w:rsid w:val="2C244A79"/>
    <w:rsid w:val="2C396384"/>
    <w:rsid w:val="2C6F4935"/>
    <w:rsid w:val="2C720B9C"/>
    <w:rsid w:val="2C7670B0"/>
    <w:rsid w:val="2C900012"/>
    <w:rsid w:val="2C9641FD"/>
    <w:rsid w:val="2C9E69C3"/>
    <w:rsid w:val="2CCE2E80"/>
    <w:rsid w:val="2CE90FDF"/>
    <w:rsid w:val="2CF81E0C"/>
    <w:rsid w:val="2D132F36"/>
    <w:rsid w:val="2D195D5C"/>
    <w:rsid w:val="2D1A625F"/>
    <w:rsid w:val="2D346B2C"/>
    <w:rsid w:val="2D722773"/>
    <w:rsid w:val="2D762946"/>
    <w:rsid w:val="2D7B0A11"/>
    <w:rsid w:val="2DE37801"/>
    <w:rsid w:val="2E09257D"/>
    <w:rsid w:val="2E356577"/>
    <w:rsid w:val="2E745A32"/>
    <w:rsid w:val="2EBA6F96"/>
    <w:rsid w:val="2ED4042A"/>
    <w:rsid w:val="2EE40801"/>
    <w:rsid w:val="2EF84B6C"/>
    <w:rsid w:val="2EFA2363"/>
    <w:rsid w:val="2F446183"/>
    <w:rsid w:val="2F5500AA"/>
    <w:rsid w:val="2F7E3A1E"/>
    <w:rsid w:val="2F8E0955"/>
    <w:rsid w:val="2FBE716D"/>
    <w:rsid w:val="2FEC2687"/>
    <w:rsid w:val="2FF31581"/>
    <w:rsid w:val="2FFF2847"/>
    <w:rsid w:val="2FFF7D1A"/>
    <w:rsid w:val="30246B97"/>
    <w:rsid w:val="3031010C"/>
    <w:rsid w:val="303634F5"/>
    <w:rsid w:val="303A2BEB"/>
    <w:rsid w:val="308F6067"/>
    <w:rsid w:val="3098732A"/>
    <w:rsid w:val="309B4BB9"/>
    <w:rsid w:val="30A74B4B"/>
    <w:rsid w:val="30B512DC"/>
    <w:rsid w:val="31032AE9"/>
    <w:rsid w:val="31045A58"/>
    <w:rsid w:val="311F69D0"/>
    <w:rsid w:val="312B246C"/>
    <w:rsid w:val="312E5AE6"/>
    <w:rsid w:val="31364966"/>
    <w:rsid w:val="31723D15"/>
    <w:rsid w:val="31786199"/>
    <w:rsid w:val="318A4700"/>
    <w:rsid w:val="318E5C66"/>
    <w:rsid w:val="319027E2"/>
    <w:rsid w:val="31E215B0"/>
    <w:rsid w:val="31F83CD7"/>
    <w:rsid w:val="31FF2494"/>
    <w:rsid w:val="320D5C51"/>
    <w:rsid w:val="32142D8D"/>
    <w:rsid w:val="321632DE"/>
    <w:rsid w:val="32393547"/>
    <w:rsid w:val="3247365F"/>
    <w:rsid w:val="32524880"/>
    <w:rsid w:val="3272144E"/>
    <w:rsid w:val="32976AF7"/>
    <w:rsid w:val="32A92083"/>
    <w:rsid w:val="32C8405D"/>
    <w:rsid w:val="33013676"/>
    <w:rsid w:val="33467E33"/>
    <w:rsid w:val="33691C84"/>
    <w:rsid w:val="339872C8"/>
    <w:rsid w:val="33A17DA3"/>
    <w:rsid w:val="33B56EB4"/>
    <w:rsid w:val="33BB4C98"/>
    <w:rsid w:val="33CE20EA"/>
    <w:rsid w:val="33DE7CFA"/>
    <w:rsid w:val="33E10801"/>
    <w:rsid w:val="33E702A0"/>
    <w:rsid w:val="33F65EDF"/>
    <w:rsid w:val="3422298A"/>
    <w:rsid w:val="34283EC5"/>
    <w:rsid w:val="344B0CCF"/>
    <w:rsid w:val="34652891"/>
    <w:rsid w:val="347B0209"/>
    <w:rsid w:val="34A61BFC"/>
    <w:rsid w:val="34D260A0"/>
    <w:rsid w:val="35176EC6"/>
    <w:rsid w:val="353D7D1A"/>
    <w:rsid w:val="35C8499D"/>
    <w:rsid w:val="35D66FD4"/>
    <w:rsid w:val="35FF748F"/>
    <w:rsid w:val="36044E2A"/>
    <w:rsid w:val="362D18D5"/>
    <w:rsid w:val="363514F4"/>
    <w:rsid w:val="364477A4"/>
    <w:rsid w:val="36704640"/>
    <w:rsid w:val="3678536C"/>
    <w:rsid w:val="36A70292"/>
    <w:rsid w:val="36EB7DAD"/>
    <w:rsid w:val="37002E36"/>
    <w:rsid w:val="37026858"/>
    <w:rsid w:val="370D0F78"/>
    <w:rsid w:val="370F1744"/>
    <w:rsid w:val="37254927"/>
    <w:rsid w:val="372649BB"/>
    <w:rsid w:val="375D5519"/>
    <w:rsid w:val="377F6445"/>
    <w:rsid w:val="3780044A"/>
    <w:rsid w:val="378F39A0"/>
    <w:rsid w:val="379B7446"/>
    <w:rsid w:val="37A478C4"/>
    <w:rsid w:val="37A8133D"/>
    <w:rsid w:val="37B72B0C"/>
    <w:rsid w:val="37BB65A7"/>
    <w:rsid w:val="37C50A5E"/>
    <w:rsid w:val="37C925E2"/>
    <w:rsid w:val="37FEAC8B"/>
    <w:rsid w:val="3814636E"/>
    <w:rsid w:val="384E004A"/>
    <w:rsid w:val="38775CEE"/>
    <w:rsid w:val="388B4AFB"/>
    <w:rsid w:val="38967B60"/>
    <w:rsid w:val="38CC544D"/>
    <w:rsid w:val="38D1546C"/>
    <w:rsid w:val="38E117D0"/>
    <w:rsid w:val="38F71DE8"/>
    <w:rsid w:val="39204C1E"/>
    <w:rsid w:val="39222DFF"/>
    <w:rsid w:val="393C50EF"/>
    <w:rsid w:val="39566D4E"/>
    <w:rsid w:val="395763F6"/>
    <w:rsid w:val="39625B33"/>
    <w:rsid w:val="397179D8"/>
    <w:rsid w:val="397B50A6"/>
    <w:rsid w:val="39933182"/>
    <w:rsid w:val="399B37BA"/>
    <w:rsid w:val="39BA0DB4"/>
    <w:rsid w:val="39C73E79"/>
    <w:rsid w:val="39CA7F76"/>
    <w:rsid w:val="39D42BB7"/>
    <w:rsid w:val="39FB15B8"/>
    <w:rsid w:val="3A5F6022"/>
    <w:rsid w:val="3A6C68C2"/>
    <w:rsid w:val="3A856E28"/>
    <w:rsid w:val="3AD00E3D"/>
    <w:rsid w:val="3AD91B89"/>
    <w:rsid w:val="3AE537BA"/>
    <w:rsid w:val="3B09103A"/>
    <w:rsid w:val="3B0D0DB8"/>
    <w:rsid w:val="3B13654F"/>
    <w:rsid w:val="3B2A69E8"/>
    <w:rsid w:val="3B573199"/>
    <w:rsid w:val="3B576492"/>
    <w:rsid w:val="3B675DFF"/>
    <w:rsid w:val="3B766D37"/>
    <w:rsid w:val="3B895D96"/>
    <w:rsid w:val="3B8C0E9A"/>
    <w:rsid w:val="3BB219A2"/>
    <w:rsid w:val="3BB23C64"/>
    <w:rsid w:val="3BD85510"/>
    <w:rsid w:val="3C0D38C4"/>
    <w:rsid w:val="3C0E4325"/>
    <w:rsid w:val="3C152664"/>
    <w:rsid w:val="3C382C0A"/>
    <w:rsid w:val="3C455DA3"/>
    <w:rsid w:val="3C483346"/>
    <w:rsid w:val="3C5D4DFC"/>
    <w:rsid w:val="3C604854"/>
    <w:rsid w:val="3C69691C"/>
    <w:rsid w:val="3C8957CC"/>
    <w:rsid w:val="3CD76804"/>
    <w:rsid w:val="3D003CBA"/>
    <w:rsid w:val="3D1A4F84"/>
    <w:rsid w:val="3D330388"/>
    <w:rsid w:val="3D59242A"/>
    <w:rsid w:val="3D5D7B50"/>
    <w:rsid w:val="3D7C5DBA"/>
    <w:rsid w:val="3D835FB5"/>
    <w:rsid w:val="3D8E5CB7"/>
    <w:rsid w:val="3DA72F79"/>
    <w:rsid w:val="3DAD2CDB"/>
    <w:rsid w:val="3DC46622"/>
    <w:rsid w:val="3DCD55C5"/>
    <w:rsid w:val="3DDF1CDB"/>
    <w:rsid w:val="3DF53087"/>
    <w:rsid w:val="3DFD7E20"/>
    <w:rsid w:val="3E0A01BB"/>
    <w:rsid w:val="3E266057"/>
    <w:rsid w:val="3E505CFF"/>
    <w:rsid w:val="3E5D3DA2"/>
    <w:rsid w:val="3E8041EE"/>
    <w:rsid w:val="3E850FD2"/>
    <w:rsid w:val="3E8846B0"/>
    <w:rsid w:val="3E920A7B"/>
    <w:rsid w:val="3E980766"/>
    <w:rsid w:val="3EA4617E"/>
    <w:rsid w:val="3EB3291D"/>
    <w:rsid w:val="3EE80DC1"/>
    <w:rsid w:val="3F2379D1"/>
    <w:rsid w:val="3F586F76"/>
    <w:rsid w:val="3F5E4B9B"/>
    <w:rsid w:val="3F7E2243"/>
    <w:rsid w:val="3F7EBC59"/>
    <w:rsid w:val="3F927A94"/>
    <w:rsid w:val="3F97315C"/>
    <w:rsid w:val="3F977E0F"/>
    <w:rsid w:val="3FCB2C42"/>
    <w:rsid w:val="3FCFDD1F"/>
    <w:rsid w:val="3FD31709"/>
    <w:rsid w:val="3FE971A3"/>
    <w:rsid w:val="404706EB"/>
    <w:rsid w:val="4056787A"/>
    <w:rsid w:val="406D4473"/>
    <w:rsid w:val="40824247"/>
    <w:rsid w:val="40E25B07"/>
    <w:rsid w:val="41077EEF"/>
    <w:rsid w:val="41104687"/>
    <w:rsid w:val="41147DDD"/>
    <w:rsid w:val="4115595A"/>
    <w:rsid w:val="411E2AB8"/>
    <w:rsid w:val="41205B4C"/>
    <w:rsid w:val="41317059"/>
    <w:rsid w:val="415A3AC9"/>
    <w:rsid w:val="416021AF"/>
    <w:rsid w:val="416F1992"/>
    <w:rsid w:val="417A4C1D"/>
    <w:rsid w:val="418424FA"/>
    <w:rsid w:val="418A2986"/>
    <w:rsid w:val="41BF1AD2"/>
    <w:rsid w:val="41D55B83"/>
    <w:rsid w:val="41DD760B"/>
    <w:rsid w:val="41E946BD"/>
    <w:rsid w:val="422658C6"/>
    <w:rsid w:val="423046EA"/>
    <w:rsid w:val="42313859"/>
    <w:rsid w:val="42321842"/>
    <w:rsid w:val="42382C08"/>
    <w:rsid w:val="42593381"/>
    <w:rsid w:val="42A31565"/>
    <w:rsid w:val="42A833CA"/>
    <w:rsid w:val="42AB3DA8"/>
    <w:rsid w:val="42B35D76"/>
    <w:rsid w:val="42BE2A94"/>
    <w:rsid w:val="42BF39F6"/>
    <w:rsid w:val="42C16EB5"/>
    <w:rsid w:val="42C218EF"/>
    <w:rsid w:val="42D44B90"/>
    <w:rsid w:val="42D67434"/>
    <w:rsid w:val="42E40CD4"/>
    <w:rsid w:val="42F8011B"/>
    <w:rsid w:val="43033A94"/>
    <w:rsid w:val="430A39D1"/>
    <w:rsid w:val="434013C0"/>
    <w:rsid w:val="437E65F0"/>
    <w:rsid w:val="43921AF3"/>
    <w:rsid w:val="439371DD"/>
    <w:rsid w:val="43A0539D"/>
    <w:rsid w:val="43A06DB5"/>
    <w:rsid w:val="43B11B36"/>
    <w:rsid w:val="43C00B50"/>
    <w:rsid w:val="43C36649"/>
    <w:rsid w:val="43CC65A3"/>
    <w:rsid w:val="43D33C43"/>
    <w:rsid w:val="43DC7FB2"/>
    <w:rsid w:val="43EE72AC"/>
    <w:rsid w:val="441D34A9"/>
    <w:rsid w:val="442D7BCC"/>
    <w:rsid w:val="445A6C8C"/>
    <w:rsid w:val="445F0155"/>
    <w:rsid w:val="44655C35"/>
    <w:rsid w:val="44701FD5"/>
    <w:rsid w:val="4493133B"/>
    <w:rsid w:val="44976C10"/>
    <w:rsid w:val="44B246A6"/>
    <w:rsid w:val="44B849A3"/>
    <w:rsid w:val="44B900EA"/>
    <w:rsid w:val="44B965F0"/>
    <w:rsid w:val="44C7065F"/>
    <w:rsid w:val="44D64630"/>
    <w:rsid w:val="44EF3C18"/>
    <w:rsid w:val="45020D24"/>
    <w:rsid w:val="45032052"/>
    <w:rsid w:val="4505118B"/>
    <w:rsid w:val="45544BB7"/>
    <w:rsid w:val="455F556A"/>
    <w:rsid w:val="456766A5"/>
    <w:rsid w:val="457D33AF"/>
    <w:rsid w:val="457E56CE"/>
    <w:rsid w:val="45826418"/>
    <w:rsid w:val="45A112D6"/>
    <w:rsid w:val="45AA6AD7"/>
    <w:rsid w:val="45BE0E4E"/>
    <w:rsid w:val="45C95394"/>
    <w:rsid w:val="45F91812"/>
    <w:rsid w:val="462A1006"/>
    <w:rsid w:val="46303E77"/>
    <w:rsid w:val="46317CFF"/>
    <w:rsid w:val="46486C59"/>
    <w:rsid w:val="465A407B"/>
    <w:rsid w:val="466133A2"/>
    <w:rsid w:val="467D6970"/>
    <w:rsid w:val="46BC7A06"/>
    <w:rsid w:val="46EA5457"/>
    <w:rsid w:val="46EC7E3D"/>
    <w:rsid w:val="46FB4F98"/>
    <w:rsid w:val="46FE68CF"/>
    <w:rsid w:val="47193799"/>
    <w:rsid w:val="471B3EE3"/>
    <w:rsid w:val="473D34CF"/>
    <w:rsid w:val="47495F5B"/>
    <w:rsid w:val="4765311C"/>
    <w:rsid w:val="47730464"/>
    <w:rsid w:val="477A1FF4"/>
    <w:rsid w:val="47851EE2"/>
    <w:rsid w:val="478B256E"/>
    <w:rsid w:val="478E502C"/>
    <w:rsid w:val="47A738CD"/>
    <w:rsid w:val="48253ADC"/>
    <w:rsid w:val="484A60F2"/>
    <w:rsid w:val="48564C27"/>
    <w:rsid w:val="485E3376"/>
    <w:rsid w:val="48611A5C"/>
    <w:rsid w:val="48647E47"/>
    <w:rsid w:val="486B4B72"/>
    <w:rsid w:val="48744A0C"/>
    <w:rsid w:val="487C7496"/>
    <w:rsid w:val="48A71A24"/>
    <w:rsid w:val="48A945F6"/>
    <w:rsid w:val="48C3374C"/>
    <w:rsid w:val="48C367D5"/>
    <w:rsid w:val="48C65A2D"/>
    <w:rsid w:val="48C77493"/>
    <w:rsid w:val="48DC025D"/>
    <w:rsid w:val="48FA6CF0"/>
    <w:rsid w:val="49113604"/>
    <w:rsid w:val="49312FD7"/>
    <w:rsid w:val="496137E1"/>
    <w:rsid w:val="49711C05"/>
    <w:rsid w:val="49733604"/>
    <w:rsid w:val="4979740F"/>
    <w:rsid w:val="49C91B1B"/>
    <w:rsid w:val="4A137712"/>
    <w:rsid w:val="4A1674EB"/>
    <w:rsid w:val="4A1A025B"/>
    <w:rsid w:val="4A206D5E"/>
    <w:rsid w:val="4A690B61"/>
    <w:rsid w:val="4A690DEF"/>
    <w:rsid w:val="4A6D3C6C"/>
    <w:rsid w:val="4ABB310E"/>
    <w:rsid w:val="4AF141A0"/>
    <w:rsid w:val="4AF96BC2"/>
    <w:rsid w:val="4AFA3EFC"/>
    <w:rsid w:val="4B2749C7"/>
    <w:rsid w:val="4B3478BA"/>
    <w:rsid w:val="4B437644"/>
    <w:rsid w:val="4BA162F3"/>
    <w:rsid w:val="4BA80DBA"/>
    <w:rsid w:val="4BB63F73"/>
    <w:rsid w:val="4BCE19D5"/>
    <w:rsid w:val="4BD55AD7"/>
    <w:rsid w:val="4BE705E5"/>
    <w:rsid w:val="4BFA731B"/>
    <w:rsid w:val="4C2C6816"/>
    <w:rsid w:val="4C2F3DBC"/>
    <w:rsid w:val="4C9D248D"/>
    <w:rsid w:val="4CBA0847"/>
    <w:rsid w:val="4CBA4E76"/>
    <w:rsid w:val="4CCC2EAF"/>
    <w:rsid w:val="4CD53FCD"/>
    <w:rsid w:val="4CE2713B"/>
    <w:rsid w:val="4D355757"/>
    <w:rsid w:val="4D43779C"/>
    <w:rsid w:val="4D512BA1"/>
    <w:rsid w:val="4D6D1FDA"/>
    <w:rsid w:val="4DAD7DBD"/>
    <w:rsid w:val="4DD70C81"/>
    <w:rsid w:val="4DD96E51"/>
    <w:rsid w:val="4DDF52CC"/>
    <w:rsid w:val="4DEA4911"/>
    <w:rsid w:val="4DFE3401"/>
    <w:rsid w:val="4DFE4EC1"/>
    <w:rsid w:val="4E011773"/>
    <w:rsid w:val="4E0B31DC"/>
    <w:rsid w:val="4E516F1E"/>
    <w:rsid w:val="4E56565A"/>
    <w:rsid w:val="4E831A3C"/>
    <w:rsid w:val="4E9F6AB6"/>
    <w:rsid w:val="4EA37A90"/>
    <w:rsid w:val="4EAB75BB"/>
    <w:rsid w:val="4EDB4DAE"/>
    <w:rsid w:val="4F1525EB"/>
    <w:rsid w:val="4F1A0D76"/>
    <w:rsid w:val="4F1D7C0B"/>
    <w:rsid w:val="4F320EB0"/>
    <w:rsid w:val="4F4C74CC"/>
    <w:rsid w:val="4F656808"/>
    <w:rsid w:val="4F6B2737"/>
    <w:rsid w:val="4F7848E3"/>
    <w:rsid w:val="4F804481"/>
    <w:rsid w:val="4F8871B2"/>
    <w:rsid w:val="4FA73077"/>
    <w:rsid w:val="4FA95F3C"/>
    <w:rsid w:val="4FAB22B7"/>
    <w:rsid w:val="4FB0360A"/>
    <w:rsid w:val="4FB33234"/>
    <w:rsid w:val="4FCD4EFC"/>
    <w:rsid w:val="4FD15286"/>
    <w:rsid w:val="50033B00"/>
    <w:rsid w:val="502F70C2"/>
    <w:rsid w:val="50307C27"/>
    <w:rsid w:val="503A0968"/>
    <w:rsid w:val="503C0712"/>
    <w:rsid w:val="50436A47"/>
    <w:rsid w:val="50536893"/>
    <w:rsid w:val="506E4318"/>
    <w:rsid w:val="508B53CF"/>
    <w:rsid w:val="509B3847"/>
    <w:rsid w:val="50A27542"/>
    <w:rsid w:val="50B52243"/>
    <w:rsid w:val="50CB0D7A"/>
    <w:rsid w:val="50D453C8"/>
    <w:rsid w:val="50F6444D"/>
    <w:rsid w:val="51183664"/>
    <w:rsid w:val="5122555C"/>
    <w:rsid w:val="512321AC"/>
    <w:rsid w:val="51981B11"/>
    <w:rsid w:val="51A7757E"/>
    <w:rsid w:val="5207540F"/>
    <w:rsid w:val="524E0C10"/>
    <w:rsid w:val="5263672E"/>
    <w:rsid w:val="526A0154"/>
    <w:rsid w:val="526B338F"/>
    <w:rsid w:val="527D11C9"/>
    <w:rsid w:val="529C60EA"/>
    <w:rsid w:val="52B44612"/>
    <w:rsid w:val="52D77BAB"/>
    <w:rsid w:val="52E857F7"/>
    <w:rsid w:val="52EA0150"/>
    <w:rsid w:val="5300268B"/>
    <w:rsid w:val="53194F9F"/>
    <w:rsid w:val="53264E5C"/>
    <w:rsid w:val="532B6AC6"/>
    <w:rsid w:val="53546A89"/>
    <w:rsid w:val="538B2B32"/>
    <w:rsid w:val="538D3390"/>
    <w:rsid w:val="53915AD0"/>
    <w:rsid w:val="53B022E7"/>
    <w:rsid w:val="53BA5FC4"/>
    <w:rsid w:val="53C43019"/>
    <w:rsid w:val="53C723AE"/>
    <w:rsid w:val="53C723D4"/>
    <w:rsid w:val="53DD5FB4"/>
    <w:rsid w:val="53ED369A"/>
    <w:rsid w:val="54087095"/>
    <w:rsid w:val="541225C0"/>
    <w:rsid w:val="542039F8"/>
    <w:rsid w:val="545F268C"/>
    <w:rsid w:val="54786869"/>
    <w:rsid w:val="547B0D29"/>
    <w:rsid w:val="5484200D"/>
    <w:rsid w:val="54886198"/>
    <w:rsid w:val="54C84D03"/>
    <w:rsid w:val="54E36129"/>
    <w:rsid w:val="54F64450"/>
    <w:rsid w:val="54FA38B2"/>
    <w:rsid w:val="552F6B6A"/>
    <w:rsid w:val="55765649"/>
    <w:rsid w:val="55AE78FC"/>
    <w:rsid w:val="55CB4D9D"/>
    <w:rsid w:val="55F82243"/>
    <w:rsid w:val="566110A0"/>
    <w:rsid w:val="56A92EAD"/>
    <w:rsid w:val="56AB6842"/>
    <w:rsid w:val="56C145E8"/>
    <w:rsid w:val="57065502"/>
    <w:rsid w:val="57385217"/>
    <w:rsid w:val="57413E17"/>
    <w:rsid w:val="574C15F3"/>
    <w:rsid w:val="574EDE88"/>
    <w:rsid w:val="576963BC"/>
    <w:rsid w:val="5780598B"/>
    <w:rsid w:val="57825E4E"/>
    <w:rsid w:val="57987A41"/>
    <w:rsid w:val="579F10F2"/>
    <w:rsid w:val="579F5660"/>
    <w:rsid w:val="57A41CB8"/>
    <w:rsid w:val="57AA230A"/>
    <w:rsid w:val="57CE1A09"/>
    <w:rsid w:val="57D83E4B"/>
    <w:rsid w:val="57D905EC"/>
    <w:rsid w:val="57EF27C2"/>
    <w:rsid w:val="57F40670"/>
    <w:rsid w:val="580F2F1C"/>
    <w:rsid w:val="581547C6"/>
    <w:rsid w:val="583668E4"/>
    <w:rsid w:val="58535E2B"/>
    <w:rsid w:val="58730F9B"/>
    <w:rsid w:val="588A2CF6"/>
    <w:rsid w:val="588F2443"/>
    <w:rsid w:val="58AD24C8"/>
    <w:rsid w:val="58B1229C"/>
    <w:rsid w:val="58E02FF0"/>
    <w:rsid w:val="58F35288"/>
    <w:rsid w:val="59106149"/>
    <w:rsid w:val="591E7F91"/>
    <w:rsid w:val="5926277A"/>
    <w:rsid w:val="593462AA"/>
    <w:rsid w:val="596C074E"/>
    <w:rsid w:val="597673F4"/>
    <w:rsid w:val="598F1ED2"/>
    <w:rsid w:val="59A35E4B"/>
    <w:rsid w:val="59B07142"/>
    <w:rsid w:val="59B46755"/>
    <w:rsid w:val="59C25411"/>
    <w:rsid w:val="59CC702C"/>
    <w:rsid w:val="59CE698E"/>
    <w:rsid w:val="59D61425"/>
    <w:rsid w:val="59FD4A77"/>
    <w:rsid w:val="5A1A4249"/>
    <w:rsid w:val="5A2A0AD6"/>
    <w:rsid w:val="5A394A85"/>
    <w:rsid w:val="5A3F02D8"/>
    <w:rsid w:val="5A4F345A"/>
    <w:rsid w:val="5A5F34BB"/>
    <w:rsid w:val="5A6A106A"/>
    <w:rsid w:val="5AB80E68"/>
    <w:rsid w:val="5AC97ACD"/>
    <w:rsid w:val="5ADF2920"/>
    <w:rsid w:val="5B1F5A05"/>
    <w:rsid w:val="5B3F1522"/>
    <w:rsid w:val="5B89294D"/>
    <w:rsid w:val="5BA01775"/>
    <w:rsid w:val="5BA851D9"/>
    <w:rsid w:val="5BC40BF8"/>
    <w:rsid w:val="5C381EF7"/>
    <w:rsid w:val="5C4162FA"/>
    <w:rsid w:val="5C6505B6"/>
    <w:rsid w:val="5C9D388D"/>
    <w:rsid w:val="5C9E79C1"/>
    <w:rsid w:val="5CD625B0"/>
    <w:rsid w:val="5CF95866"/>
    <w:rsid w:val="5CFA6ABE"/>
    <w:rsid w:val="5D1E013C"/>
    <w:rsid w:val="5D2169BC"/>
    <w:rsid w:val="5D4753EA"/>
    <w:rsid w:val="5D511465"/>
    <w:rsid w:val="5D522338"/>
    <w:rsid w:val="5D7E240F"/>
    <w:rsid w:val="5D87FA5B"/>
    <w:rsid w:val="5DC139F4"/>
    <w:rsid w:val="5DC8731E"/>
    <w:rsid w:val="5E370D9A"/>
    <w:rsid w:val="5E41334D"/>
    <w:rsid w:val="5E4A1EE2"/>
    <w:rsid w:val="5E717AA0"/>
    <w:rsid w:val="5E8F7B58"/>
    <w:rsid w:val="5E92266E"/>
    <w:rsid w:val="5E983534"/>
    <w:rsid w:val="5ECB528E"/>
    <w:rsid w:val="5F024360"/>
    <w:rsid w:val="5F1378C7"/>
    <w:rsid w:val="5F14614C"/>
    <w:rsid w:val="5F1A721E"/>
    <w:rsid w:val="5F3855E1"/>
    <w:rsid w:val="5FA46DDC"/>
    <w:rsid w:val="5FA86324"/>
    <w:rsid w:val="5FAC2FD3"/>
    <w:rsid w:val="5FAD2920"/>
    <w:rsid w:val="5FF41CE6"/>
    <w:rsid w:val="601F6788"/>
    <w:rsid w:val="603868C6"/>
    <w:rsid w:val="60391522"/>
    <w:rsid w:val="604421AE"/>
    <w:rsid w:val="606672EF"/>
    <w:rsid w:val="60693926"/>
    <w:rsid w:val="60CD3634"/>
    <w:rsid w:val="60E25262"/>
    <w:rsid w:val="60E40B2E"/>
    <w:rsid w:val="61025647"/>
    <w:rsid w:val="611F70AC"/>
    <w:rsid w:val="61376B41"/>
    <w:rsid w:val="61423362"/>
    <w:rsid w:val="614345DF"/>
    <w:rsid w:val="616D591D"/>
    <w:rsid w:val="61815FA8"/>
    <w:rsid w:val="61853E99"/>
    <w:rsid w:val="61E43E20"/>
    <w:rsid w:val="61E55AF2"/>
    <w:rsid w:val="61EA3443"/>
    <w:rsid w:val="61EC2EE6"/>
    <w:rsid w:val="61EE7E03"/>
    <w:rsid w:val="61F73143"/>
    <w:rsid w:val="61FC1B89"/>
    <w:rsid w:val="6203560A"/>
    <w:rsid w:val="62682051"/>
    <w:rsid w:val="626B4385"/>
    <w:rsid w:val="628A24A5"/>
    <w:rsid w:val="62946016"/>
    <w:rsid w:val="62A13852"/>
    <w:rsid w:val="62BB663C"/>
    <w:rsid w:val="62C845E1"/>
    <w:rsid w:val="62D34BF5"/>
    <w:rsid w:val="62D81534"/>
    <w:rsid w:val="62EC39CA"/>
    <w:rsid w:val="62F12CE3"/>
    <w:rsid w:val="630663BB"/>
    <w:rsid w:val="6322144E"/>
    <w:rsid w:val="63245A7B"/>
    <w:rsid w:val="63452C1E"/>
    <w:rsid w:val="63533B90"/>
    <w:rsid w:val="63563AAA"/>
    <w:rsid w:val="635A5AE0"/>
    <w:rsid w:val="63663FCA"/>
    <w:rsid w:val="636772CE"/>
    <w:rsid w:val="63900BC6"/>
    <w:rsid w:val="63991A80"/>
    <w:rsid w:val="63BC05F1"/>
    <w:rsid w:val="63C15716"/>
    <w:rsid w:val="63C81409"/>
    <w:rsid w:val="63D56DCA"/>
    <w:rsid w:val="63ED724B"/>
    <w:rsid w:val="63F3DB8C"/>
    <w:rsid w:val="64055152"/>
    <w:rsid w:val="640A0B45"/>
    <w:rsid w:val="641B5D62"/>
    <w:rsid w:val="64232B46"/>
    <w:rsid w:val="643B5D0A"/>
    <w:rsid w:val="6446183B"/>
    <w:rsid w:val="6458429B"/>
    <w:rsid w:val="64835EBF"/>
    <w:rsid w:val="64D80057"/>
    <w:rsid w:val="64E70231"/>
    <w:rsid w:val="650C7909"/>
    <w:rsid w:val="650D455D"/>
    <w:rsid w:val="6531163D"/>
    <w:rsid w:val="65433379"/>
    <w:rsid w:val="65434A53"/>
    <w:rsid w:val="65563E65"/>
    <w:rsid w:val="655A0FFF"/>
    <w:rsid w:val="656107C1"/>
    <w:rsid w:val="6591054F"/>
    <w:rsid w:val="65D22B50"/>
    <w:rsid w:val="65E900A9"/>
    <w:rsid w:val="65EE37B3"/>
    <w:rsid w:val="66003E9F"/>
    <w:rsid w:val="660B5CD5"/>
    <w:rsid w:val="66165B93"/>
    <w:rsid w:val="66250DD3"/>
    <w:rsid w:val="663F6006"/>
    <w:rsid w:val="666324C7"/>
    <w:rsid w:val="66647CAE"/>
    <w:rsid w:val="666C4670"/>
    <w:rsid w:val="668869A2"/>
    <w:rsid w:val="669A3724"/>
    <w:rsid w:val="66C318F0"/>
    <w:rsid w:val="66DB2DE0"/>
    <w:rsid w:val="66FF51C8"/>
    <w:rsid w:val="670B08E8"/>
    <w:rsid w:val="671A7D23"/>
    <w:rsid w:val="671E67F4"/>
    <w:rsid w:val="67215E7D"/>
    <w:rsid w:val="67242D69"/>
    <w:rsid w:val="67251694"/>
    <w:rsid w:val="67733B19"/>
    <w:rsid w:val="678D4BCC"/>
    <w:rsid w:val="67A63855"/>
    <w:rsid w:val="67BB67CC"/>
    <w:rsid w:val="67CF4B84"/>
    <w:rsid w:val="67E42509"/>
    <w:rsid w:val="67E425FE"/>
    <w:rsid w:val="68166450"/>
    <w:rsid w:val="682A2C68"/>
    <w:rsid w:val="684653C4"/>
    <w:rsid w:val="68477F87"/>
    <w:rsid w:val="685C5A30"/>
    <w:rsid w:val="685D4DBE"/>
    <w:rsid w:val="68774E85"/>
    <w:rsid w:val="68A55A4C"/>
    <w:rsid w:val="68A915C1"/>
    <w:rsid w:val="68D33B66"/>
    <w:rsid w:val="68DC194C"/>
    <w:rsid w:val="68F539F2"/>
    <w:rsid w:val="691652AB"/>
    <w:rsid w:val="693346E8"/>
    <w:rsid w:val="694C0535"/>
    <w:rsid w:val="69825967"/>
    <w:rsid w:val="69B51B9B"/>
    <w:rsid w:val="69EF6EDB"/>
    <w:rsid w:val="6A420D91"/>
    <w:rsid w:val="6A522E46"/>
    <w:rsid w:val="6A6A485C"/>
    <w:rsid w:val="6A730257"/>
    <w:rsid w:val="6A8F727B"/>
    <w:rsid w:val="6AA92192"/>
    <w:rsid w:val="6AD80953"/>
    <w:rsid w:val="6AD97967"/>
    <w:rsid w:val="6AF07556"/>
    <w:rsid w:val="6AFA059B"/>
    <w:rsid w:val="6AFC461F"/>
    <w:rsid w:val="6B1B0ED4"/>
    <w:rsid w:val="6B1C04DF"/>
    <w:rsid w:val="6B4712ED"/>
    <w:rsid w:val="6B497053"/>
    <w:rsid w:val="6B6922F7"/>
    <w:rsid w:val="6B6F1F9A"/>
    <w:rsid w:val="6B937434"/>
    <w:rsid w:val="6BA56255"/>
    <w:rsid w:val="6BB111A7"/>
    <w:rsid w:val="6BBF0A45"/>
    <w:rsid w:val="6BF22383"/>
    <w:rsid w:val="6C170508"/>
    <w:rsid w:val="6C195C48"/>
    <w:rsid w:val="6C3B1A67"/>
    <w:rsid w:val="6C4C396D"/>
    <w:rsid w:val="6CD312F2"/>
    <w:rsid w:val="6CE913AF"/>
    <w:rsid w:val="6D1261A8"/>
    <w:rsid w:val="6D2040B0"/>
    <w:rsid w:val="6D532F1F"/>
    <w:rsid w:val="6D6A73E6"/>
    <w:rsid w:val="6D6F68EB"/>
    <w:rsid w:val="6D8E2F7B"/>
    <w:rsid w:val="6D9A4717"/>
    <w:rsid w:val="6DBD35AC"/>
    <w:rsid w:val="6DC0089D"/>
    <w:rsid w:val="6DC90379"/>
    <w:rsid w:val="6DD60097"/>
    <w:rsid w:val="6E0741D3"/>
    <w:rsid w:val="6E177D52"/>
    <w:rsid w:val="6E2A2AD8"/>
    <w:rsid w:val="6E326276"/>
    <w:rsid w:val="6E47696C"/>
    <w:rsid w:val="6E5834F5"/>
    <w:rsid w:val="6E6D256E"/>
    <w:rsid w:val="6EC34DF4"/>
    <w:rsid w:val="6EF00B1A"/>
    <w:rsid w:val="6EF900D8"/>
    <w:rsid w:val="6F0C5E06"/>
    <w:rsid w:val="6F0C725D"/>
    <w:rsid w:val="6F187472"/>
    <w:rsid w:val="6F3024ED"/>
    <w:rsid w:val="6F764D01"/>
    <w:rsid w:val="6F9A1F0F"/>
    <w:rsid w:val="6F9FBA9E"/>
    <w:rsid w:val="6FCDC6FA"/>
    <w:rsid w:val="6FCE75F8"/>
    <w:rsid w:val="6FF31906"/>
    <w:rsid w:val="6FFF440B"/>
    <w:rsid w:val="6FFF5F5C"/>
    <w:rsid w:val="6FFF74F7"/>
    <w:rsid w:val="70011C83"/>
    <w:rsid w:val="70053BCE"/>
    <w:rsid w:val="703B1AE1"/>
    <w:rsid w:val="70450709"/>
    <w:rsid w:val="704C62D1"/>
    <w:rsid w:val="70542E2B"/>
    <w:rsid w:val="708F680C"/>
    <w:rsid w:val="70D43F80"/>
    <w:rsid w:val="70D901EF"/>
    <w:rsid w:val="710354F3"/>
    <w:rsid w:val="711E7C04"/>
    <w:rsid w:val="71580EE2"/>
    <w:rsid w:val="715872C7"/>
    <w:rsid w:val="718371A1"/>
    <w:rsid w:val="71C471E4"/>
    <w:rsid w:val="71C55F06"/>
    <w:rsid w:val="71FF6222"/>
    <w:rsid w:val="721F5BC9"/>
    <w:rsid w:val="72381126"/>
    <w:rsid w:val="72684FD7"/>
    <w:rsid w:val="726B176B"/>
    <w:rsid w:val="72B43677"/>
    <w:rsid w:val="72C412FB"/>
    <w:rsid w:val="72C97B35"/>
    <w:rsid w:val="730B2D3A"/>
    <w:rsid w:val="7330190A"/>
    <w:rsid w:val="7355082E"/>
    <w:rsid w:val="735E6B9B"/>
    <w:rsid w:val="73772D63"/>
    <w:rsid w:val="738A46A2"/>
    <w:rsid w:val="7390093A"/>
    <w:rsid w:val="73946C75"/>
    <w:rsid w:val="73A03BE9"/>
    <w:rsid w:val="73D18234"/>
    <w:rsid w:val="73DF04F4"/>
    <w:rsid w:val="73E7462A"/>
    <w:rsid w:val="74025C0A"/>
    <w:rsid w:val="74286E53"/>
    <w:rsid w:val="7429703F"/>
    <w:rsid w:val="742C2121"/>
    <w:rsid w:val="743662EB"/>
    <w:rsid w:val="744603B5"/>
    <w:rsid w:val="746328E7"/>
    <w:rsid w:val="748216AB"/>
    <w:rsid w:val="749310CB"/>
    <w:rsid w:val="749F4F12"/>
    <w:rsid w:val="74A62664"/>
    <w:rsid w:val="74B45A81"/>
    <w:rsid w:val="750661F3"/>
    <w:rsid w:val="750666D9"/>
    <w:rsid w:val="751B06C2"/>
    <w:rsid w:val="75223102"/>
    <w:rsid w:val="754E1068"/>
    <w:rsid w:val="756B15DF"/>
    <w:rsid w:val="7584686C"/>
    <w:rsid w:val="758A0901"/>
    <w:rsid w:val="75AC0D30"/>
    <w:rsid w:val="75B26ACF"/>
    <w:rsid w:val="75CB1620"/>
    <w:rsid w:val="75DB5D52"/>
    <w:rsid w:val="761D6DEE"/>
    <w:rsid w:val="7635583B"/>
    <w:rsid w:val="7652768A"/>
    <w:rsid w:val="76741A07"/>
    <w:rsid w:val="767D38C4"/>
    <w:rsid w:val="7682523E"/>
    <w:rsid w:val="76930BF0"/>
    <w:rsid w:val="76B23B0B"/>
    <w:rsid w:val="76BE0CB7"/>
    <w:rsid w:val="76D44FDC"/>
    <w:rsid w:val="76DC5BF0"/>
    <w:rsid w:val="770015A6"/>
    <w:rsid w:val="77223CC5"/>
    <w:rsid w:val="77984640"/>
    <w:rsid w:val="779F41FD"/>
    <w:rsid w:val="77B72E73"/>
    <w:rsid w:val="77F90282"/>
    <w:rsid w:val="782E2F9D"/>
    <w:rsid w:val="7843688B"/>
    <w:rsid w:val="78633B64"/>
    <w:rsid w:val="788E3842"/>
    <w:rsid w:val="78AB5960"/>
    <w:rsid w:val="78BE0133"/>
    <w:rsid w:val="78C75466"/>
    <w:rsid w:val="78C9357D"/>
    <w:rsid w:val="78C97559"/>
    <w:rsid w:val="78F020D7"/>
    <w:rsid w:val="791442B8"/>
    <w:rsid w:val="79415506"/>
    <w:rsid w:val="79661CDC"/>
    <w:rsid w:val="79773671"/>
    <w:rsid w:val="79B5094B"/>
    <w:rsid w:val="7A074AF8"/>
    <w:rsid w:val="7A5434B0"/>
    <w:rsid w:val="7A8D1667"/>
    <w:rsid w:val="7A937FC6"/>
    <w:rsid w:val="7AED6DBE"/>
    <w:rsid w:val="7AFE4DC1"/>
    <w:rsid w:val="7B0D4BC0"/>
    <w:rsid w:val="7B3175D2"/>
    <w:rsid w:val="7B4163C5"/>
    <w:rsid w:val="7B455206"/>
    <w:rsid w:val="7B5E69B7"/>
    <w:rsid w:val="7B715A28"/>
    <w:rsid w:val="7B8C1720"/>
    <w:rsid w:val="7BB17B82"/>
    <w:rsid w:val="7BB8709C"/>
    <w:rsid w:val="7BD31A3F"/>
    <w:rsid w:val="7BEC56A9"/>
    <w:rsid w:val="7C006898"/>
    <w:rsid w:val="7C03026C"/>
    <w:rsid w:val="7C093AA2"/>
    <w:rsid w:val="7C153AE2"/>
    <w:rsid w:val="7C3440AD"/>
    <w:rsid w:val="7C3A6F3F"/>
    <w:rsid w:val="7C6A1DBC"/>
    <w:rsid w:val="7C7014C9"/>
    <w:rsid w:val="7C8946EB"/>
    <w:rsid w:val="7C8C2339"/>
    <w:rsid w:val="7C9C2CBD"/>
    <w:rsid w:val="7CC3513C"/>
    <w:rsid w:val="7CC86057"/>
    <w:rsid w:val="7CEC3B84"/>
    <w:rsid w:val="7CFF6DEE"/>
    <w:rsid w:val="7D02245F"/>
    <w:rsid w:val="7D0821CF"/>
    <w:rsid w:val="7D0B5291"/>
    <w:rsid w:val="7D527A19"/>
    <w:rsid w:val="7D673AE7"/>
    <w:rsid w:val="7D95750E"/>
    <w:rsid w:val="7DB06552"/>
    <w:rsid w:val="7DD7A0DD"/>
    <w:rsid w:val="7DF6D90F"/>
    <w:rsid w:val="7DFA2F5D"/>
    <w:rsid w:val="7E085437"/>
    <w:rsid w:val="7E2F792D"/>
    <w:rsid w:val="7E58324C"/>
    <w:rsid w:val="7E6F6695"/>
    <w:rsid w:val="7E940F5E"/>
    <w:rsid w:val="7F096CBB"/>
    <w:rsid w:val="7F1975EF"/>
    <w:rsid w:val="7F232F0E"/>
    <w:rsid w:val="7F362B5D"/>
    <w:rsid w:val="7F5D7096"/>
    <w:rsid w:val="7F641ED0"/>
    <w:rsid w:val="7F6617F5"/>
    <w:rsid w:val="7F687887"/>
    <w:rsid w:val="7F7E7CB5"/>
    <w:rsid w:val="7F82233E"/>
    <w:rsid w:val="7FAF5523"/>
    <w:rsid w:val="7FB54E9B"/>
    <w:rsid w:val="7FC311D0"/>
    <w:rsid w:val="7FEE2ED4"/>
    <w:rsid w:val="7FF776E2"/>
    <w:rsid w:val="7FF77754"/>
    <w:rsid w:val="7FFD0DC7"/>
    <w:rsid w:val="7FFD4C32"/>
    <w:rsid w:val="7FFE0F5A"/>
    <w:rsid w:val="7FFF7624"/>
    <w:rsid w:val="847F9AFE"/>
    <w:rsid w:val="8BB10093"/>
    <w:rsid w:val="93E7FBE9"/>
    <w:rsid w:val="9FE7CDE3"/>
    <w:rsid w:val="AFF79E5F"/>
    <w:rsid w:val="B333F456"/>
    <w:rsid w:val="B9ED0830"/>
    <w:rsid w:val="BEF9826B"/>
    <w:rsid w:val="BF4B1EB5"/>
    <w:rsid w:val="BF7DA5E8"/>
    <w:rsid w:val="BFCFA73A"/>
    <w:rsid w:val="D36D4C61"/>
    <w:rsid w:val="DEFE7CC7"/>
    <w:rsid w:val="DF3F812C"/>
    <w:rsid w:val="E3FFA6F4"/>
    <w:rsid w:val="E75389C8"/>
    <w:rsid w:val="EBF7E75D"/>
    <w:rsid w:val="EEB3FCF4"/>
    <w:rsid w:val="EFB48386"/>
    <w:rsid w:val="EFFFDA46"/>
    <w:rsid w:val="F35BC0F3"/>
    <w:rsid w:val="F53F9E74"/>
    <w:rsid w:val="F64D30A2"/>
    <w:rsid w:val="F65EB95D"/>
    <w:rsid w:val="F79FA3DF"/>
    <w:rsid w:val="FD573189"/>
    <w:rsid w:val="FDFC1D71"/>
    <w:rsid w:val="FDFD97B3"/>
    <w:rsid w:val="FEFF73ED"/>
    <w:rsid w:val="FFDCCD94"/>
    <w:rsid w:val="FFFCF706"/>
    <w:rsid w:val="FFFF1F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kern w:val="2"/>
      <w:sz w:val="32"/>
      <w:lang w:val="en-US" w:eastAsia="zh-CN" w:bidi="ar-SA"/>
    </w:rPr>
  </w:style>
  <w:style w:type="paragraph" w:styleId="2">
    <w:name w:val="heading 2"/>
    <w:basedOn w:val="1"/>
    <w:next w:val="1"/>
    <w:unhideWhenUsed/>
    <w:qFormat/>
    <w:uiPriority w:val="0"/>
    <w:pPr>
      <w:keepNext/>
      <w:keepLines/>
      <w:numPr>
        <w:ilvl w:val="1"/>
        <w:numId w:val="1"/>
      </w:numPr>
      <w:spacing w:before="260" w:beforeLines="0" w:beforeAutospacing="0" w:after="260" w:afterLines="0" w:afterAutospacing="0" w:line="413" w:lineRule="auto"/>
      <w:outlineLvl w:val="1"/>
    </w:pPr>
    <w:rPr>
      <w:rFonts w:ascii="Arial" w:hAnsi="Arial" w:eastAsia="黑体" w:cs="Times New Roman"/>
      <w:b/>
      <w:color w:val="auto"/>
      <w:sz w:val="32"/>
      <w:szCs w:val="24"/>
    </w:rPr>
  </w:style>
  <w:style w:type="character" w:default="1" w:styleId="8">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spacing w:line="240" w:lineRule="atLeast"/>
      <w:jc w:val="left"/>
    </w:pPr>
    <w:rPr>
      <w:kern w:val="0"/>
      <w:sz w:val="18"/>
      <w:szCs w:val="18"/>
    </w:rPr>
  </w:style>
  <w:style w:type="paragraph" w:styleId="4">
    <w:name w:val="header"/>
    <w:basedOn w:val="1"/>
    <w:link w:val="11"/>
    <w:uiPriority w:val="0"/>
    <w:pPr>
      <w:pBdr>
        <w:bottom w:val="single" w:color="auto" w:sz="6" w:space="1"/>
      </w:pBdr>
      <w:tabs>
        <w:tab w:val="center" w:pos="4153"/>
        <w:tab w:val="right" w:pos="8306"/>
      </w:tabs>
      <w:snapToGrid w:val="0"/>
      <w:spacing w:line="240" w:lineRule="atLeast"/>
      <w:jc w:val="center"/>
    </w:pPr>
    <w:rPr>
      <w:kern w:val="0"/>
      <w:sz w:val="18"/>
      <w:szCs w:val="18"/>
    </w:rPr>
  </w:style>
  <w:style w:type="paragraph" w:styleId="5">
    <w:name w:val="Normal (Web)"/>
    <w:qFormat/>
    <w:uiPriority w:val="0"/>
    <w:pPr>
      <w:widowControl w:val="0"/>
      <w:spacing w:beforeAutospacing="1" w:afterAutospacing="1" w:line="560" w:lineRule="exact"/>
      <w:jc w:val="left"/>
    </w:pPr>
    <w:rPr>
      <w:rFonts w:ascii="Times New Roman" w:hAnsi="Times New Roman" w:eastAsia="仿宋_GB2312" w:cs="Times New Roman"/>
      <w:kern w:val="0"/>
      <w:sz w:val="24"/>
      <w:lang w:val="en-US" w:eastAsia="zh-CN" w:bidi="ar-SA"/>
    </w:rPr>
  </w:style>
  <w:style w:type="table" w:styleId="7">
    <w:name w:val="Table Grid"/>
    <w:basedOn w:val="6"/>
    <w:uiPriority w:val="0"/>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cs="Times New Roman"/>
    </w:rPr>
  </w:style>
  <w:style w:type="character" w:customStyle="1" w:styleId="10">
    <w:name w:val="页脚 Char"/>
    <w:link w:val="3"/>
    <w:uiPriority w:val="0"/>
    <w:rPr>
      <w:rFonts w:ascii="Times New Roman" w:hAnsi="Times New Roman" w:eastAsia="仿宋_GB2312" w:cs="Times New Roman"/>
      <w:sz w:val="18"/>
      <w:szCs w:val="18"/>
    </w:rPr>
  </w:style>
  <w:style w:type="character" w:customStyle="1" w:styleId="11">
    <w:name w:val="页眉 Char"/>
    <w:link w:val="4"/>
    <w:uiPriority w:val="0"/>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ixiangju/.config/browser360ent/Default/DirectOpenDownloadCach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0</Pages>
  <Words>0</Words>
  <Characters>0</Characters>
  <Lines>0</Lines>
  <Paragraphs>0</Paragraphs>
  <TotalTime>2.33333333333333</TotalTime>
  <ScaleCrop>false</ScaleCrop>
  <LinksUpToDate>false</LinksUpToDate>
  <CharactersWithSpaces>0</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2025-11-04T08:59:00Z</dcterms:created>
  <dc:creator>陈伟捷:排版</dc:creator>
  <cp:lastModifiedBy>潘锦功</cp:lastModifiedBy>
  <dcterms:modified xsi:type="dcterms:W3CDTF">2025-11-10T08:55:24Z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_INFO_ID" linkTarget="-1">
    <vt:lpwstr>-1</vt:lpwstr>
  </property>
  <property fmtid="{D5CDD505-2E9C-101B-9397-08002B2CF9AE}" pid="3" name="ICV">
    <vt:lpwstr>8ADEAEEA6E84E1A3FC3711699ED91EE6</vt:lpwstr>
  </property>
  <property fmtid="{D5CDD505-2E9C-101B-9397-08002B2CF9AE}" pid="4" name="KSOProductBuildVer">
    <vt:lpwstr>2052-11.8.2.12313</vt:lpwstr>
  </property>
</Properties>
</file>