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26C23">
      <w:pPr>
        <w:spacing w:line="360" w:lineRule="auto"/>
        <w:ind w:firstLine="643" w:firstLineChars="200"/>
        <w:jc w:val="center"/>
        <w:rPr>
          <w:rFonts w:ascii="宋体" w:hAnsi="宋体" w:eastAsia="宋体" w:cs="宋体"/>
          <w:b/>
          <w:bCs/>
          <w:sz w:val="32"/>
          <w:szCs w:val="32"/>
        </w:rPr>
      </w:pPr>
      <w:bookmarkStart w:id="0" w:name="_GoBack"/>
      <w:bookmarkEnd w:id="0"/>
      <w:r>
        <w:rPr>
          <w:rFonts w:hint="eastAsia" w:ascii="宋体" w:hAnsi="宋体" w:eastAsia="宋体" w:cs="宋体"/>
          <w:b/>
          <w:bCs/>
          <w:sz w:val="32"/>
          <w:szCs w:val="32"/>
        </w:rPr>
        <w:t>关于发布海峡气象开放实验室（厦门市海峡气象开放重点实验室）2025年度“揭榜挂帅”项目的通知</w:t>
      </w:r>
    </w:p>
    <w:p w14:paraId="3E11AEF3">
      <w:pPr>
        <w:pStyle w:val="5"/>
        <w:spacing w:line="360" w:lineRule="auto"/>
        <w:ind w:firstLine="360" w:firstLineChars="200"/>
      </w:pPr>
    </w:p>
    <w:p w14:paraId="0C949D3C">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各有关单位：</w:t>
      </w:r>
    </w:p>
    <w:p w14:paraId="2EAB2782">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为贯彻落实《气象高质量发展纲要（2022-2035年）》（国发[2022]11号），推动海峡气象开放实验室（厦门市海峡气象开放重点实验室）的建设，加强与高校、科研机构和企业间的科技交流与合作，推进产学研一体化发展，现发布海峡气象开放实验室2025年度“揭榜挂帅”项目，具体事宜通知如下：</w:t>
      </w:r>
    </w:p>
    <w:p w14:paraId="14BDE30A">
      <w:pPr>
        <w:pStyle w:val="5"/>
        <w:spacing w:line="360" w:lineRule="auto"/>
        <w:ind w:firstLine="562" w:firstLineChars="200"/>
        <w:jc w:val="both"/>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一、揭榜项目</w:t>
      </w:r>
    </w:p>
    <w:p w14:paraId="1D4C60C5">
      <w:pPr>
        <w:snapToGrid w:val="0"/>
        <w:spacing w:line="300" w:lineRule="auto"/>
        <w:ind w:firstLine="562" w:firstLineChars="200"/>
        <w:outlineLvl w:val="1"/>
        <w:rPr>
          <w:rFonts w:ascii="仿宋_GB2312" w:hAnsi="仿宋_GB2312" w:eastAsia="仿宋_GB2312" w:cs="仿宋_GB2312"/>
          <w:b/>
          <w:szCs w:val="28"/>
        </w:rPr>
      </w:pPr>
      <w:r>
        <w:rPr>
          <w:rFonts w:hint="eastAsia" w:ascii="仿宋_GB2312" w:hAnsi="仿宋_GB2312" w:eastAsia="仿宋_GB2312" w:cs="仿宋_GB2312"/>
          <w:b/>
          <w:szCs w:val="28"/>
        </w:rPr>
        <w:t>榜单1：未来全球变暖背景下我国东南沿海地区中尺度对流系统变化研究</w:t>
      </w:r>
    </w:p>
    <w:p w14:paraId="53AB3A93">
      <w:pPr>
        <w:spacing w:line="360" w:lineRule="auto"/>
        <w:ind w:firstLine="562" w:firstLineChars="200"/>
        <w:rPr>
          <w:rFonts w:ascii="仿宋_GB2312" w:hAnsi="仿宋_GB2312" w:eastAsia="仿宋_GB2312" w:cs="仿宋_GB2312"/>
          <w:szCs w:val="28"/>
        </w:rPr>
      </w:pPr>
      <w:r>
        <w:rPr>
          <w:rFonts w:hint="eastAsia" w:ascii="仿宋_GB2312" w:hAnsi="仿宋_GB2312" w:eastAsia="仿宋_GB2312" w:cs="仿宋_GB2312"/>
          <w:b/>
          <w:szCs w:val="28"/>
        </w:rPr>
        <w:t>研究内容：</w:t>
      </w:r>
      <w:r>
        <w:rPr>
          <w:rFonts w:hint="eastAsia" w:ascii="仿宋_GB2312" w:hAnsi="仿宋_GB2312" w:eastAsia="仿宋_GB2312" w:cs="仿宋_GB2312"/>
          <w:szCs w:val="28"/>
        </w:rPr>
        <w:t>（1）中尺度对流系统识别与时空演变分析，构建针对我国东南沿海区域的高质量</w:t>
      </w:r>
      <w:r>
        <w:rPr>
          <w:rFonts w:ascii="仿宋_GB2312" w:hAnsi="仿宋_GB2312" w:eastAsia="仿宋_GB2312" w:cs="仿宋_GB2312"/>
          <w:szCs w:val="28"/>
        </w:rPr>
        <w:t>MCS</w:t>
      </w:r>
      <w:r>
        <w:rPr>
          <w:rFonts w:hint="eastAsia" w:ascii="仿宋_GB2312" w:hAnsi="仿宋_GB2312" w:eastAsia="仿宋_GB2312" w:cs="仿宋_GB2312"/>
          <w:szCs w:val="28"/>
        </w:rPr>
        <w:t>识别数据库，开展生命周期、结构演变及其对应环境场的统计分析；分类不同类型</w:t>
      </w:r>
      <w:r>
        <w:rPr>
          <w:rFonts w:ascii="仿宋_GB2312" w:hAnsi="仿宋_GB2312" w:eastAsia="仿宋_GB2312" w:cs="仿宋_GB2312"/>
          <w:szCs w:val="28"/>
        </w:rPr>
        <w:t>MCS</w:t>
      </w:r>
      <w:r>
        <w:rPr>
          <w:rFonts w:hint="eastAsia" w:ascii="仿宋_GB2312" w:hAnsi="仿宋_GB2312" w:eastAsia="仿宋_GB2312" w:cs="仿宋_GB2312"/>
          <w:szCs w:val="28"/>
        </w:rPr>
        <w:t>，探索其成因机制及分布特征。（2）未来气候背景下</w:t>
      </w:r>
      <w:r>
        <w:rPr>
          <w:rFonts w:ascii="仿宋_GB2312" w:hAnsi="仿宋_GB2312" w:eastAsia="仿宋_GB2312" w:cs="仿宋_GB2312"/>
          <w:szCs w:val="28"/>
        </w:rPr>
        <w:t>MCS</w:t>
      </w:r>
      <w:r>
        <w:rPr>
          <w:rFonts w:hint="eastAsia" w:ascii="仿宋_GB2312" w:hAnsi="仿宋_GB2312" w:eastAsia="仿宋_GB2312" w:cs="仿宋_GB2312"/>
          <w:szCs w:val="28"/>
        </w:rPr>
        <w:t>降水特征模拟与变化分析，基于全球对流可分辨模拟系统，重建东南沿海典型</w:t>
      </w:r>
      <w:r>
        <w:rPr>
          <w:rFonts w:ascii="仿宋_GB2312" w:hAnsi="仿宋_GB2312" w:eastAsia="仿宋_GB2312" w:cs="仿宋_GB2312"/>
          <w:szCs w:val="28"/>
        </w:rPr>
        <w:t>MCS</w:t>
      </w:r>
      <w:r>
        <w:rPr>
          <w:rFonts w:hint="eastAsia" w:ascii="仿宋_GB2312" w:hAnsi="仿宋_GB2312" w:eastAsia="仿宋_GB2312" w:cs="仿宋_GB2312"/>
          <w:szCs w:val="28"/>
        </w:rPr>
        <w:t>物理过程；分析未来温升情景下</w:t>
      </w:r>
      <w:r>
        <w:rPr>
          <w:rFonts w:ascii="仿宋_GB2312" w:hAnsi="仿宋_GB2312" w:eastAsia="仿宋_GB2312" w:cs="仿宋_GB2312"/>
          <w:szCs w:val="28"/>
        </w:rPr>
        <w:t>MCS</w:t>
      </w:r>
      <w:r>
        <w:rPr>
          <w:rFonts w:hint="eastAsia" w:ascii="仿宋_GB2312" w:hAnsi="仿宋_GB2312" w:eastAsia="仿宋_GB2312" w:cs="仿宋_GB2312"/>
          <w:szCs w:val="28"/>
        </w:rPr>
        <w:t>强度、降水效率与对流范围的变化趋势；揭示</w:t>
      </w:r>
      <w:r>
        <w:rPr>
          <w:rFonts w:ascii="仿宋_GB2312" w:hAnsi="仿宋_GB2312" w:eastAsia="仿宋_GB2312" w:cs="仿宋_GB2312"/>
          <w:szCs w:val="28"/>
        </w:rPr>
        <w:t>MCS</w:t>
      </w:r>
      <w:r>
        <w:rPr>
          <w:rFonts w:hint="eastAsia" w:ascii="仿宋_GB2312" w:hAnsi="仿宋_GB2312" w:eastAsia="仿宋_GB2312" w:cs="仿宋_GB2312"/>
          <w:szCs w:val="28"/>
        </w:rPr>
        <w:t>演变背后的气候响应机制，提升预测解释能力。（3）构建未来风险图谱与政府决策支撑系统，建立东南沿海地区</w:t>
      </w:r>
      <w:r>
        <w:rPr>
          <w:rFonts w:ascii="仿宋_GB2312" w:hAnsi="仿宋_GB2312" w:eastAsia="仿宋_GB2312" w:cs="仿宋_GB2312"/>
          <w:szCs w:val="28"/>
        </w:rPr>
        <w:t>MCS</w:t>
      </w:r>
      <w:r>
        <w:rPr>
          <w:rFonts w:hint="eastAsia" w:ascii="仿宋_GB2312" w:hAnsi="仿宋_GB2312" w:eastAsia="仿宋_GB2312" w:cs="仿宋_GB2312"/>
          <w:szCs w:val="28"/>
        </w:rPr>
        <w:t>风险演变图谱，评估关键区域潜在灾害风险；提交政策咨询报告，提出灾害风险控制与城市规划的科学建议。</w:t>
      </w:r>
    </w:p>
    <w:p w14:paraId="493B5BEA">
      <w:pPr>
        <w:spacing w:line="360" w:lineRule="auto"/>
        <w:ind w:firstLine="562" w:firstLineChars="200"/>
        <w:rPr>
          <w:rFonts w:ascii="仿宋_GB2312" w:hAnsi="仿宋_GB2312" w:eastAsia="仿宋_GB2312" w:cs="仿宋_GB2312"/>
          <w:szCs w:val="28"/>
        </w:rPr>
      </w:pPr>
      <w:r>
        <w:rPr>
          <w:rFonts w:hint="eastAsia" w:ascii="仿宋_GB2312" w:hAnsi="仿宋_GB2312" w:eastAsia="仿宋_GB2312" w:cs="仿宋_GB2312"/>
          <w:b/>
          <w:szCs w:val="28"/>
        </w:rPr>
        <w:t>考核指标：</w:t>
      </w:r>
      <w:r>
        <w:rPr>
          <w:rFonts w:hint="eastAsia" w:ascii="仿宋_GB2312" w:hAnsi="仿宋_GB2312" w:eastAsia="仿宋_GB2312" w:cs="仿宋_GB2312"/>
          <w:szCs w:val="28"/>
        </w:rPr>
        <w:t>（1）构建</w:t>
      </w:r>
      <w:r>
        <w:rPr>
          <w:rFonts w:ascii="仿宋_GB2312" w:hAnsi="仿宋_GB2312" w:eastAsia="仿宋_GB2312" w:cs="仿宋_GB2312"/>
          <w:szCs w:val="28"/>
        </w:rPr>
        <w:t>1</w:t>
      </w:r>
      <w:r>
        <w:rPr>
          <w:rFonts w:hint="eastAsia" w:ascii="仿宋_GB2312" w:hAnsi="仿宋_GB2312" w:eastAsia="仿宋_GB2312" w:cs="仿宋_GB2312"/>
          <w:szCs w:val="28"/>
        </w:rPr>
        <w:t>套高分辨率情景模拟资料集；（2）给出未来变暖情景下我国东南沿海地区</w:t>
      </w:r>
      <w:r>
        <w:rPr>
          <w:rFonts w:ascii="仿宋_GB2312" w:hAnsi="仿宋_GB2312" w:eastAsia="仿宋_GB2312" w:cs="仿宋_GB2312"/>
          <w:szCs w:val="28"/>
        </w:rPr>
        <w:t>MCS</w:t>
      </w:r>
      <w:r>
        <w:rPr>
          <w:rFonts w:hint="eastAsia" w:ascii="仿宋_GB2312" w:hAnsi="仿宋_GB2312" w:eastAsia="仿宋_GB2312" w:cs="仿宋_GB2312"/>
          <w:szCs w:val="28"/>
        </w:rPr>
        <w:t>事件的预估结果；（3）提供</w:t>
      </w:r>
      <w:r>
        <w:rPr>
          <w:rFonts w:ascii="仿宋_GB2312" w:hAnsi="仿宋_GB2312" w:eastAsia="仿宋_GB2312" w:cs="仿宋_GB2312"/>
          <w:szCs w:val="28"/>
        </w:rPr>
        <w:t>1</w:t>
      </w:r>
      <w:r>
        <w:rPr>
          <w:rFonts w:hint="eastAsia" w:ascii="仿宋_GB2312" w:hAnsi="仿宋_GB2312" w:eastAsia="仿宋_GB2312" w:cs="仿宋_GB2312"/>
          <w:szCs w:val="28"/>
        </w:rPr>
        <w:t>份针对东南沿海地区</w:t>
      </w:r>
      <w:r>
        <w:rPr>
          <w:rFonts w:ascii="仿宋_GB2312" w:hAnsi="仿宋_GB2312" w:eastAsia="仿宋_GB2312" w:cs="仿宋_GB2312"/>
          <w:szCs w:val="28"/>
        </w:rPr>
        <w:t>MCS</w:t>
      </w:r>
      <w:r>
        <w:rPr>
          <w:rFonts w:hint="eastAsia" w:ascii="仿宋_GB2312" w:hAnsi="仿宋_GB2312" w:eastAsia="仿宋_GB2312" w:cs="仿宋_GB2312"/>
          <w:szCs w:val="28"/>
        </w:rPr>
        <w:t>事件未来变化的影响和灾害风险评估报告（政府内参报告）；（4）在国内外主流期刊发表论文不少于</w:t>
      </w:r>
      <w:r>
        <w:rPr>
          <w:rFonts w:ascii="仿宋_GB2312" w:hAnsi="仿宋_GB2312" w:eastAsia="仿宋_GB2312" w:cs="仿宋_GB2312"/>
          <w:szCs w:val="28"/>
        </w:rPr>
        <w:t>2</w:t>
      </w:r>
      <w:r>
        <w:rPr>
          <w:rFonts w:hint="eastAsia" w:ascii="仿宋_GB2312" w:hAnsi="仿宋_GB2312" w:eastAsia="仿宋_GB2312" w:cs="仿宋_GB2312"/>
          <w:szCs w:val="28"/>
        </w:rPr>
        <w:t>篇。</w:t>
      </w:r>
    </w:p>
    <w:p w14:paraId="038C1DD6">
      <w:pPr>
        <w:spacing w:line="360" w:lineRule="auto"/>
        <w:ind w:firstLine="562" w:firstLineChars="200"/>
        <w:rPr>
          <w:rFonts w:ascii="仿宋_GB2312" w:hAnsi="仿宋_GB2312" w:eastAsia="仿宋_GB2312" w:cs="仿宋_GB2312"/>
          <w:b/>
          <w:szCs w:val="28"/>
        </w:rPr>
      </w:pPr>
      <w:r>
        <w:rPr>
          <w:rFonts w:hint="eastAsia" w:ascii="仿宋_GB2312" w:hAnsi="仿宋_GB2312" w:eastAsia="仿宋_GB2312" w:cs="仿宋_GB2312"/>
          <w:b/>
          <w:szCs w:val="28"/>
        </w:rPr>
        <w:t>榜单2：厦门市突发性强对流生消过程的智能临近预报技术研究</w:t>
      </w:r>
    </w:p>
    <w:p w14:paraId="1E7769DD">
      <w:pPr>
        <w:spacing w:line="360" w:lineRule="auto"/>
        <w:ind w:firstLine="562" w:firstLineChars="200"/>
        <w:rPr>
          <w:rFonts w:ascii="仿宋_GB2312" w:hAnsi="仿宋_GB2312" w:eastAsia="仿宋_GB2312" w:cs="仿宋_GB2312"/>
          <w:szCs w:val="28"/>
        </w:rPr>
      </w:pPr>
      <w:r>
        <w:rPr>
          <w:rFonts w:ascii="仿宋_GB2312" w:hAnsi="仿宋_GB2312" w:eastAsia="仿宋_GB2312" w:cs="仿宋_GB2312"/>
          <w:b/>
          <w:szCs w:val="28"/>
        </w:rPr>
        <w:t>研究内容</w:t>
      </w:r>
      <w:r>
        <w:rPr>
          <w:rFonts w:hint="eastAsia" w:ascii="仿宋_GB2312" w:hAnsi="仿宋_GB2312" w:eastAsia="仿宋_GB2312" w:cs="仿宋_GB2312"/>
          <w:b/>
          <w:szCs w:val="28"/>
        </w:rPr>
        <w:t>：</w:t>
      </w:r>
      <w:r>
        <w:rPr>
          <w:rFonts w:hint="eastAsia" w:ascii="仿宋_GB2312" w:hAnsi="仿宋_GB2312" w:eastAsia="仿宋_GB2312" w:cs="仿宋_GB2312"/>
          <w:szCs w:val="28"/>
        </w:rPr>
        <w:t>（1）研发基于物理约束的生成式扩散预报模型，设计并实现一个以生成式扩散模型为核心的深度学习架构。该架构应能有效融合不同尺度的输入信息：解码高分辨率观测资料中的时空动态特征（如云团形态和移动轨迹）以及多源资料融合而成的物理环境场特征（如大气不稳定度和水汽条件等）。重点研究创新的特征融合与注入机制，将物理环境场的强约束作用于扩散模型的生成过程，确保模型能生成物理合理的对流演变过程。（2）实现对流生消的概率性预报，基于训练完成的生成式扩散模型，实现高效的集成预报生成技术。通过在推理阶段引入随机性，多次运行模型以生成一个包含多种可能未来情景的预报集合。开发后处理算法，对集合中的每个成员进行对流单体识别，统计每个网格点上未来发生对流的频率，最终生成概率预报图。</w:t>
      </w:r>
    </w:p>
    <w:p w14:paraId="63FBAC4C">
      <w:pPr>
        <w:spacing w:line="360" w:lineRule="auto"/>
        <w:ind w:firstLine="562" w:firstLineChars="200"/>
        <w:rPr>
          <w:rFonts w:ascii="仿宋_GB2312" w:hAnsi="仿宋_GB2312" w:eastAsia="仿宋_GB2312" w:cs="仿宋_GB2312"/>
          <w:b/>
          <w:szCs w:val="28"/>
        </w:rPr>
      </w:pPr>
      <w:r>
        <w:rPr>
          <w:rFonts w:ascii="仿宋_GB2312" w:hAnsi="仿宋_GB2312" w:eastAsia="仿宋_GB2312" w:cs="仿宋_GB2312"/>
          <w:b/>
          <w:szCs w:val="28"/>
        </w:rPr>
        <w:t>考核指标：</w:t>
      </w:r>
      <w:r>
        <w:rPr>
          <w:rFonts w:hint="eastAsia" w:ascii="仿宋_GB2312" w:hAnsi="仿宋_GB2312" w:eastAsia="仿宋_GB2312" w:cs="仿宋_GB2312"/>
          <w:szCs w:val="28"/>
        </w:rPr>
        <w:t>（1）</w:t>
      </w:r>
      <w:r>
        <w:rPr>
          <w:rFonts w:ascii="仿宋_GB2312" w:hAnsi="仿宋_GB2312" w:eastAsia="仿宋_GB2312" w:cs="仿宋_GB2312"/>
          <w:szCs w:val="28"/>
        </w:rPr>
        <w:t xml:space="preserve"> 开发</w:t>
      </w:r>
      <w:r>
        <w:rPr>
          <w:rFonts w:hint="eastAsia" w:ascii="仿宋_GB2312" w:hAnsi="仿宋_GB2312" w:eastAsia="仿宋_GB2312" w:cs="仿宋_GB2312"/>
          <w:szCs w:val="28"/>
        </w:rPr>
        <w:t>一套强对流生消临近预报原型系统能够在厦门本地业务运行；（</w:t>
      </w:r>
      <w:r>
        <w:rPr>
          <w:rFonts w:ascii="仿宋_GB2312" w:hAnsi="仿宋_GB2312" w:eastAsia="仿宋_GB2312" w:cs="仿宋_GB2312"/>
          <w:szCs w:val="28"/>
        </w:rPr>
        <w:t>2</w:t>
      </w:r>
      <w:r>
        <w:rPr>
          <w:rFonts w:hint="eastAsia" w:ascii="仿宋_GB2312" w:hAnsi="仿宋_GB2312" w:eastAsia="仿宋_GB2312" w:cs="仿宋_GB2312"/>
          <w:szCs w:val="28"/>
        </w:rPr>
        <w:t>）形成一份技术研究报告，包括模型架构与现模型预报能力评估；（</w:t>
      </w:r>
      <w:r>
        <w:rPr>
          <w:rFonts w:ascii="仿宋_GB2312" w:hAnsi="仿宋_GB2312" w:eastAsia="仿宋_GB2312" w:cs="仿宋_GB2312"/>
          <w:szCs w:val="28"/>
        </w:rPr>
        <w:t>3</w:t>
      </w:r>
      <w:r>
        <w:rPr>
          <w:rFonts w:hint="eastAsia" w:ascii="仿宋_GB2312" w:hAnsi="仿宋_GB2312" w:eastAsia="仿宋_GB2312" w:cs="仿宋_GB2312"/>
          <w:szCs w:val="28"/>
        </w:rPr>
        <w:t>）在国内外高水平学术期刊发表论文不少于</w:t>
      </w:r>
      <w:r>
        <w:rPr>
          <w:rFonts w:ascii="仿宋_GB2312" w:hAnsi="仿宋_GB2312" w:eastAsia="仿宋_GB2312" w:cs="仿宋_GB2312"/>
          <w:szCs w:val="28"/>
        </w:rPr>
        <w:t>2</w:t>
      </w:r>
      <w:r>
        <w:rPr>
          <w:rFonts w:hint="eastAsia" w:ascii="仿宋_GB2312" w:hAnsi="仿宋_GB2312" w:eastAsia="仿宋_GB2312" w:cs="仿宋_GB2312"/>
          <w:szCs w:val="28"/>
        </w:rPr>
        <w:t>篇。</w:t>
      </w:r>
    </w:p>
    <w:p w14:paraId="19D08603">
      <w:pPr>
        <w:ind w:left="142" w:firstLine="420"/>
        <w:rPr>
          <w:rFonts w:ascii="仿宋_GB2312" w:hAnsi="仿宋_GB2312" w:eastAsia="仿宋_GB2312" w:cs="仿宋_GB2312"/>
          <w:b/>
          <w:szCs w:val="28"/>
        </w:rPr>
      </w:pPr>
      <w:r>
        <w:rPr>
          <w:rFonts w:hint="eastAsia" w:ascii="仿宋_GB2312" w:hAnsi="仿宋_GB2312" w:eastAsia="仿宋_GB2312" w:cs="仿宋_GB2312"/>
          <w:b/>
          <w:szCs w:val="28"/>
        </w:rPr>
        <w:t>榜单3：厦门市重大气候灾害综合风险评估及应对</w:t>
      </w:r>
    </w:p>
    <w:p w14:paraId="5BFD6605">
      <w:pPr>
        <w:widowControl/>
        <w:shd w:val="clear" w:color="auto" w:fill="FFFFFF"/>
        <w:spacing w:line="360" w:lineRule="auto"/>
        <w:ind w:firstLine="562" w:firstLineChars="200"/>
        <w:jc w:val="left"/>
        <w:rPr>
          <w:rFonts w:ascii="仿宋_GB2312" w:hAnsi="仿宋_GB2312" w:eastAsia="仿宋_GB2312" w:cs="仿宋_GB2312"/>
          <w:szCs w:val="28"/>
        </w:rPr>
      </w:pPr>
      <w:r>
        <w:rPr>
          <w:rFonts w:hint="eastAsia" w:ascii="仿宋_GB2312" w:hAnsi="仿宋_GB2312" w:eastAsia="仿宋_GB2312" w:cs="仿宋_GB2312"/>
          <w:b/>
          <w:szCs w:val="28"/>
        </w:rPr>
        <w:t>研究内容：</w:t>
      </w:r>
      <w:r>
        <w:rPr>
          <w:rFonts w:hint="eastAsia" w:ascii="仿宋_GB2312" w:hAnsi="仿宋_GB2312" w:eastAsia="仿宋_GB2312" w:cs="仿宋_GB2312"/>
          <w:szCs w:val="28"/>
        </w:rPr>
        <w:t>（1）厦门气候灾害多致灾因子危险性分析，基于多源观测资料和数值模式系统分析过去几十年影响厦门的台风强风、暴雨、风暴潮、海浪和极端径流的时空分布特征，以及未来</w:t>
      </w:r>
      <w:r>
        <w:rPr>
          <w:rFonts w:ascii="仿宋_GB2312" w:hAnsi="仿宋_GB2312" w:eastAsia="仿宋_GB2312" w:cs="仿宋_GB2312"/>
          <w:szCs w:val="28"/>
        </w:rPr>
        <w:t>10</w:t>
      </w:r>
      <w:r>
        <w:rPr>
          <w:rFonts w:hint="eastAsia" w:ascii="仿宋_GB2312" w:hAnsi="仿宋_GB2312" w:eastAsia="仿宋_GB2312" w:cs="仿宋_GB2312"/>
          <w:szCs w:val="28"/>
        </w:rPr>
        <w:t>-</w:t>
      </w:r>
      <w:r>
        <w:rPr>
          <w:rFonts w:ascii="仿宋_GB2312" w:hAnsi="仿宋_GB2312" w:eastAsia="仿宋_GB2312" w:cs="仿宋_GB2312"/>
          <w:szCs w:val="28"/>
        </w:rPr>
        <w:t>30</w:t>
      </w:r>
      <w:r>
        <w:rPr>
          <w:rFonts w:hint="eastAsia" w:ascii="仿宋_GB2312" w:hAnsi="仿宋_GB2312" w:eastAsia="仿宋_GB2312" w:cs="仿宋_GB2312"/>
          <w:szCs w:val="28"/>
        </w:rPr>
        <w:t>年各致灾因子的强度</w:t>
      </w:r>
      <w:r>
        <w:rPr>
          <w:rFonts w:ascii="仿宋_GB2312" w:hAnsi="仿宋_GB2312" w:eastAsia="仿宋_GB2312" w:cs="仿宋_GB2312"/>
          <w:szCs w:val="28"/>
        </w:rPr>
        <w:t>-</w:t>
      </w:r>
      <w:r>
        <w:rPr>
          <w:rFonts w:hint="eastAsia" w:ascii="仿宋_GB2312" w:hAnsi="仿宋_GB2312" w:eastAsia="仿宋_GB2312" w:cs="仿宋_GB2312"/>
          <w:szCs w:val="28"/>
        </w:rPr>
        <w:t>频率变化趋势；结合未来海平面上升情景，采用气象水文模型模拟多灾种耦合作用下的城市复合洪水灾害风险。（2）厦门社会经济脆弱性和综合风险评估，基于高分辨率遥感影像、空间化人口、</w:t>
      </w:r>
      <w:r>
        <w:rPr>
          <w:rFonts w:ascii="仿宋_GB2312" w:hAnsi="仿宋_GB2312" w:eastAsia="仿宋_GB2312" w:cs="仿宋_GB2312"/>
          <w:szCs w:val="28"/>
        </w:rPr>
        <w:t>GDP</w:t>
      </w:r>
      <w:r>
        <w:rPr>
          <w:rFonts w:hint="eastAsia" w:ascii="仿宋_GB2312" w:hAnsi="仿宋_GB2312" w:eastAsia="仿宋_GB2312" w:cs="仿宋_GB2312"/>
          <w:szCs w:val="28"/>
        </w:rPr>
        <w:t>、关键基础设施和土地利用数据及</w:t>
      </w:r>
      <w:r>
        <w:rPr>
          <w:rFonts w:ascii="仿宋_GB2312" w:hAnsi="仿宋_GB2312" w:eastAsia="仿宋_GB2312" w:cs="仿宋_GB2312"/>
          <w:szCs w:val="28"/>
        </w:rPr>
        <w:t>GIS</w:t>
      </w:r>
      <w:r>
        <w:rPr>
          <w:rFonts w:hint="eastAsia" w:ascii="仿宋_GB2312" w:hAnsi="仿宋_GB2312" w:eastAsia="仿宋_GB2312" w:cs="仿宋_GB2312"/>
          <w:szCs w:val="28"/>
        </w:rPr>
        <w:t>技术，构建行业脆弱性指标和综合风险评估模型，重点评估气候变化背景下厦门市高分辨率（-</w:t>
      </w:r>
      <w:r>
        <w:rPr>
          <w:rFonts w:ascii="仿宋_GB2312" w:hAnsi="仿宋_GB2312" w:eastAsia="仿宋_GB2312" w:cs="仿宋_GB2312"/>
          <w:szCs w:val="28"/>
        </w:rPr>
        <w:t>100</w:t>
      </w:r>
      <w:r>
        <w:rPr>
          <w:rFonts w:hint="eastAsia" w:ascii="仿宋_GB2312" w:hAnsi="仿宋_GB2312" w:eastAsia="仿宋_GB2312" w:cs="仿宋_GB2312"/>
          <w:szCs w:val="28"/>
        </w:rPr>
        <w:t>米网格）的气候灾害风险的演变趋势，并绘制综合风险区划图。（3）厦门重大气候灾害风险适应性对策研究，基于气候风险评估结果，实地调研厦门生态敏感区（如九龙江口）、城市低洼地（如厦大和沙坡尾、轮渡中山路）、重要沿海工程（如翔安机场）和排水系统承载能力现状，并结合厦门市国土空间规划，识别高风险区域和关键脆弱设施，并提出相关的分级防控策略。</w:t>
      </w:r>
    </w:p>
    <w:p w14:paraId="4DF92A78">
      <w:pPr>
        <w:spacing w:line="360" w:lineRule="auto"/>
        <w:ind w:firstLine="562" w:firstLineChars="200"/>
        <w:rPr>
          <w:rFonts w:ascii="仿宋_GB2312" w:hAnsi="仿宋_GB2312" w:eastAsia="仿宋_GB2312" w:cs="仿宋_GB2312"/>
          <w:szCs w:val="28"/>
        </w:rPr>
      </w:pPr>
      <w:r>
        <w:rPr>
          <w:rFonts w:ascii="仿宋_GB2312" w:hAnsi="仿宋_GB2312" w:eastAsia="仿宋_GB2312" w:cs="仿宋_GB2312"/>
          <w:b/>
          <w:szCs w:val="28"/>
        </w:rPr>
        <w:t>考核指标：</w:t>
      </w:r>
      <w:r>
        <w:rPr>
          <w:rFonts w:hint="eastAsia" w:ascii="仿宋_GB2312" w:hAnsi="仿宋_GB2312" w:eastAsia="仿宋_GB2312" w:cs="仿宋_GB2312"/>
          <w:szCs w:val="28"/>
        </w:rPr>
        <w:t>（1）形成《厦门市重大气候灾害风险研究报告》，包括灾害重点防御区规划方案及适应性管理对策（政府内参报告）；（2）厦门市重大气候灾害多致灾因子高分辨率危险性、脆弱性和综合风险分布图，分辨率不低于</w:t>
      </w:r>
      <w:r>
        <w:rPr>
          <w:rFonts w:ascii="仿宋_GB2312" w:hAnsi="仿宋_GB2312" w:eastAsia="仿宋_GB2312" w:cs="仿宋_GB2312"/>
          <w:szCs w:val="28"/>
        </w:rPr>
        <w:t>100</w:t>
      </w:r>
      <w:r>
        <w:rPr>
          <w:rFonts w:hint="eastAsia" w:ascii="仿宋_GB2312" w:hAnsi="仿宋_GB2312" w:eastAsia="仿宋_GB2312" w:cs="仿宋_GB2312"/>
          <w:szCs w:val="28"/>
        </w:rPr>
        <w:t>米；（3）国内外高水平学术期刊发表论文不少于</w:t>
      </w:r>
      <w:r>
        <w:rPr>
          <w:rFonts w:ascii="仿宋_GB2312" w:hAnsi="仿宋_GB2312" w:eastAsia="仿宋_GB2312" w:cs="仿宋_GB2312"/>
          <w:szCs w:val="28"/>
        </w:rPr>
        <w:t>2</w:t>
      </w:r>
      <w:r>
        <w:rPr>
          <w:rFonts w:hint="eastAsia" w:ascii="仿宋_GB2312" w:hAnsi="仿宋_GB2312" w:eastAsia="仿宋_GB2312" w:cs="仿宋_GB2312"/>
          <w:szCs w:val="28"/>
        </w:rPr>
        <w:t>篇。</w:t>
      </w:r>
      <w:r>
        <w:rPr>
          <w:rFonts w:ascii="仿宋_GB2312" w:hAnsi="仿宋_GB2312" w:eastAsia="仿宋_GB2312" w:cs="仿宋_GB2312"/>
          <w:szCs w:val="28"/>
        </w:rPr>
        <w:t xml:space="preserve">  </w:t>
      </w:r>
    </w:p>
    <w:p w14:paraId="3FADCBC8">
      <w:pPr>
        <w:pStyle w:val="5"/>
        <w:spacing w:line="360" w:lineRule="auto"/>
        <w:ind w:firstLine="562" w:firstLineChars="200"/>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二、揭榜条件</w:t>
      </w:r>
    </w:p>
    <w:p w14:paraId="4BF0ED0B">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本次“揭榜挂帅”项目，面向全国高校、科研院所、企业进行揭榜，揭榜方应符合以下条件：</w:t>
      </w:r>
    </w:p>
    <w:p w14:paraId="46F1CE74">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揭榜人及其团队成员不受年龄、职称、学历、奖项等限制，应符合以下条件：</w:t>
      </w:r>
    </w:p>
    <w:p w14:paraId="60ADDF0B">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（1）能够积极响应榜单需求，提出技术研发的可行性方案，对于所提供的技术或成果具有自主知识产权；</w:t>
      </w:r>
    </w:p>
    <w:p w14:paraId="4EDAF2A8">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（2）能够积极推进项目任务落实，交付约定成果，协助用户单位完成技术应用落地实施；</w:t>
      </w:r>
    </w:p>
    <w:p w14:paraId="02E089F3">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（3）诚信状况良好，无在惩戒执行期内的科研严重失信行为记录和相关社会领域信用“黑名单”记录；</w:t>
      </w:r>
    </w:p>
    <w:p w14:paraId="65D47B06">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（4）项目负责人原则上应为主体研究思路的提出者和实际主持研究的在职科技人员，揭榜攻关期间原则上不得更换和调离，中央和地方国家机关的公务人员不得作为负责人；</w:t>
      </w:r>
    </w:p>
    <w:p w14:paraId="12A363D4">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（5）项目团队成员不超过10人，应包含1-2名海峡气象开放实验室业务科技人员参与项目研发。</w:t>
      </w:r>
    </w:p>
    <w:p w14:paraId="12638254">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揭榜人所在单位为揭榜单位，符合以下条件：</w:t>
      </w:r>
    </w:p>
    <w:p w14:paraId="1C6D8571">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（1）全国范围内具备独立法人资格的气象部门（福建省气象部门除外）、高校、科研院所和企业；</w:t>
      </w:r>
    </w:p>
    <w:p w14:paraId="544EE81D">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（2）管理制度健全完善，能够为项目开展提供支持和保障；</w:t>
      </w:r>
    </w:p>
    <w:p w14:paraId="3F99E932">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（3）具有较强的研发实力、完备的科研条件，无不良诚信记录；</w:t>
      </w:r>
    </w:p>
    <w:p w14:paraId="2BAB2CDF">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（4）鼓励揭榜单位与其他单位组成创新联合体开展揭榜攻关。</w:t>
      </w:r>
    </w:p>
    <w:p w14:paraId="672B7F86">
      <w:pPr>
        <w:pStyle w:val="5"/>
        <w:spacing w:line="360" w:lineRule="auto"/>
        <w:ind w:firstLine="562" w:firstLineChars="200"/>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三、揭榜要求</w:t>
      </w:r>
    </w:p>
    <w:p w14:paraId="225F10C0">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1. 申请的项目经费额度一般不超过20万，具体视情况而定，研究周期为2年。</w:t>
      </w:r>
    </w:p>
    <w:p w14:paraId="34BB9BB7">
      <w:pPr>
        <w:pStyle w:val="5"/>
        <w:spacing w:line="360" w:lineRule="auto"/>
        <w:ind w:firstLine="560" w:firstLineChars="200"/>
        <w:jc w:val="both"/>
        <w:rPr>
          <w:rFonts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.获资助的开放（揭榜）课题发表论文需加挂“厦门市海峡气象开放重点实验室（Xiamen Key Laboratory of Straits Meteorology）”为第一或第二单位。</w:t>
      </w:r>
    </w:p>
    <w:p w14:paraId="07CCFDDA">
      <w:pPr>
        <w:pStyle w:val="5"/>
        <w:spacing w:line="360" w:lineRule="auto"/>
        <w:ind w:firstLine="560" w:firstLineChars="200"/>
        <w:jc w:val="both"/>
        <w:rPr>
          <w:rFonts w:ascii="仿宋_GB2312" w:hAnsi="仿宋_GB2312" w:eastAsia="仿宋_GB2312" w:cs="仿宋_GB2312"/>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揭榜单位和参与人应遵守中国知识产权法律、法规、规章、具有约束力的规范性文件及在中国适用的与知识产权有关的国际公约，所申报项目的知识产权明晰无争议，归属或技术来源正当合法，不存在知识产权失信违法行为。</w:t>
      </w:r>
    </w:p>
    <w:p w14:paraId="4F19CD2A">
      <w:pPr>
        <w:pStyle w:val="5"/>
        <w:spacing w:line="360" w:lineRule="auto"/>
        <w:ind w:firstLine="562" w:firstLineChars="200"/>
        <w:jc w:val="both"/>
        <w:rPr>
          <w:rFonts w:ascii="仿宋_GB2312" w:hAnsi="仿宋_GB2312" w:eastAsia="仿宋_GB2312" w:cs="仿宋_GB2312"/>
          <w:b/>
          <w:sz w:val="28"/>
          <w:szCs w:val="28"/>
        </w:rPr>
      </w:pPr>
      <w:r>
        <w:rPr>
          <w:rFonts w:hint="eastAsia" w:ascii="仿宋_GB2312" w:hAnsi="仿宋_GB2312" w:eastAsia="仿宋_GB2312" w:cs="仿宋_GB2312"/>
          <w:b/>
          <w:sz w:val="28"/>
          <w:szCs w:val="28"/>
        </w:rPr>
        <w:t>四、揭榜程序</w:t>
      </w:r>
    </w:p>
    <w:p w14:paraId="287C8E20">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1. 项目申请人（揭榜人）严格按照项目申报类型填写《海峡气象开放实验室开放课题申请书》（附件）。请各申报单位于2025年8月30日前汇总本单位申请书，审核盖章后统一报送至海峡气象开放实验室邮箱（xmklsm@sohu.com）。为落实无纸化办公要求，提高申报效率，本年度申报工作无须报送纸质版材料。</w:t>
      </w:r>
    </w:p>
    <w:p w14:paraId="26F28463">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2.揭榜遴选。实验室对揭榜项目申报书初审后组织专家进行评审，并根据专家评审意见择优遴选揭榜方和经费安排建议上报市局。</w:t>
      </w:r>
    </w:p>
    <w:p w14:paraId="6FCF0AA5">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3.揭榜公告。市局研究确定揭榜方后进行公示，公示后实验室组织揭榜方签订揭榜项目任务书。</w:t>
      </w:r>
    </w:p>
    <w:p w14:paraId="0B51A11D">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五、联系人</w:t>
      </w:r>
    </w:p>
    <w:p w14:paraId="5DDA3459">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联系人：廖雨欣</w:t>
      </w:r>
    </w:p>
    <w:p w14:paraId="5111E526">
      <w:pPr>
        <w:pStyle w:val="5"/>
        <w:spacing w:line="36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联系电话：5725097；15959772751</w:t>
      </w:r>
    </w:p>
    <w:sectPr>
      <w:pgSz w:w="11906" w:h="16838"/>
      <w:pgMar w:top="1440" w:right="1080" w:bottom="1440" w:left="1080" w:header="851" w:footer="992" w:gutter="0"/>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4YWJhNGMyOWY1ZDI2ZDZjZjBkMmIzNWNhN2U1YWYifQ=="/>
  </w:docVars>
  <w:rsids>
    <w:rsidRoot w:val="57304CBC"/>
    <w:rsid w:val="000B6598"/>
    <w:rsid w:val="000C0101"/>
    <w:rsid w:val="000C3091"/>
    <w:rsid w:val="00117647"/>
    <w:rsid w:val="00132E58"/>
    <w:rsid w:val="00157D13"/>
    <w:rsid w:val="001A727E"/>
    <w:rsid w:val="001C21E3"/>
    <w:rsid w:val="00246B83"/>
    <w:rsid w:val="00262A6D"/>
    <w:rsid w:val="002C4670"/>
    <w:rsid w:val="002F34C2"/>
    <w:rsid w:val="00307A22"/>
    <w:rsid w:val="003424B0"/>
    <w:rsid w:val="003C1EBA"/>
    <w:rsid w:val="003E581E"/>
    <w:rsid w:val="0042641E"/>
    <w:rsid w:val="0056079C"/>
    <w:rsid w:val="005D2A74"/>
    <w:rsid w:val="00645CFE"/>
    <w:rsid w:val="00683D1A"/>
    <w:rsid w:val="00757245"/>
    <w:rsid w:val="00797B88"/>
    <w:rsid w:val="0081676B"/>
    <w:rsid w:val="00823F4E"/>
    <w:rsid w:val="008612A7"/>
    <w:rsid w:val="00897543"/>
    <w:rsid w:val="008A299E"/>
    <w:rsid w:val="00913E5A"/>
    <w:rsid w:val="00954584"/>
    <w:rsid w:val="00961C45"/>
    <w:rsid w:val="009845A0"/>
    <w:rsid w:val="009F7EA3"/>
    <w:rsid w:val="00A31266"/>
    <w:rsid w:val="00A41488"/>
    <w:rsid w:val="00AD7ABB"/>
    <w:rsid w:val="00AE1A98"/>
    <w:rsid w:val="00B1332D"/>
    <w:rsid w:val="00B257A9"/>
    <w:rsid w:val="00C30703"/>
    <w:rsid w:val="00C55B5E"/>
    <w:rsid w:val="00CB39A4"/>
    <w:rsid w:val="00CF5B2A"/>
    <w:rsid w:val="00D70C19"/>
    <w:rsid w:val="00D93F06"/>
    <w:rsid w:val="00EA1E76"/>
    <w:rsid w:val="00EB3B00"/>
    <w:rsid w:val="00ED071B"/>
    <w:rsid w:val="00ED14A1"/>
    <w:rsid w:val="00ED5D1E"/>
    <w:rsid w:val="00FD259C"/>
    <w:rsid w:val="00FD7075"/>
    <w:rsid w:val="00FF21D3"/>
    <w:rsid w:val="0D4C7ED9"/>
    <w:rsid w:val="0FC65D20"/>
    <w:rsid w:val="137818A0"/>
    <w:rsid w:val="15FA727A"/>
    <w:rsid w:val="1D6E4BC9"/>
    <w:rsid w:val="24DD5B8E"/>
    <w:rsid w:val="271B7437"/>
    <w:rsid w:val="34533777"/>
    <w:rsid w:val="377F0D27"/>
    <w:rsid w:val="3EB92D70"/>
    <w:rsid w:val="3EBB6776"/>
    <w:rsid w:val="3ED01E68"/>
    <w:rsid w:val="4E0833CC"/>
    <w:rsid w:val="51410915"/>
    <w:rsid w:val="51E53F4B"/>
    <w:rsid w:val="57304CBC"/>
    <w:rsid w:val="58953AAF"/>
    <w:rsid w:val="5F625052"/>
    <w:rsid w:val="66C25A7D"/>
    <w:rsid w:val="74EC17E4"/>
    <w:rsid w:val="75464EF5"/>
    <w:rsid w:val="76BE4A5D"/>
    <w:rsid w:val="76EC08E6"/>
    <w:rsid w:val="795E6F55"/>
    <w:rsid w:val="79F93A46"/>
    <w:rsid w:val="7E015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8"/>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paragraph" w:styleId="3">
    <w:name w:val="footer"/>
    <w:basedOn w:val="1"/>
    <w:link w:val="19"/>
    <w:uiPriority w:val="0"/>
    <w:pPr>
      <w:tabs>
        <w:tab w:val="center" w:pos="4153"/>
        <w:tab w:val="right" w:pos="8306"/>
      </w:tabs>
      <w:snapToGrid w:val="0"/>
      <w:jc w:val="left"/>
    </w:pPr>
    <w:rPr>
      <w:sz w:val="18"/>
      <w:szCs w:val="18"/>
    </w:rPr>
  </w:style>
  <w:style w:type="paragraph" w:styleId="4">
    <w:name w:val="header"/>
    <w:basedOn w:val="1"/>
    <w:link w:val="18"/>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uiPriority w:val="0"/>
    <w:pPr>
      <w:snapToGrid w:val="0"/>
      <w:jc w:val="left"/>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paragraph" w:styleId="9">
    <w:name w:val="List Paragraph"/>
    <w:basedOn w:val="1"/>
    <w:qFormat/>
    <w:uiPriority w:val="34"/>
    <w:pPr>
      <w:autoSpaceDE w:val="0"/>
      <w:autoSpaceDN w:val="0"/>
      <w:ind w:firstLine="420" w:firstLineChars="200"/>
      <w:jc w:val="left"/>
    </w:pPr>
    <w:rPr>
      <w:rFonts w:ascii="宋体" w:hAnsi="宋体" w:eastAsia="宋体" w:cs="宋体"/>
      <w:kern w:val="0"/>
      <w:sz w:val="22"/>
      <w:szCs w:val="22"/>
      <w:lang w:eastAsia="en-US"/>
    </w:rPr>
  </w:style>
  <w:style w:type="character" w:customStyle="1" w:styleId="10">
    <w:name w:val="citation-947"/>
    <w:basedOn w:val="8"/>
    <w:uiPriority w:val="0"/>
  </w:style>
  <w:style w:type="character" w:customStyle="1" w:styleId="11">
    <w:name w:val="citation-946"/>
    <w:basedOn w:val="8"/>
    <w:uiPriority w:val="0"/>
  </w:style>
  <w:style w:type="character" w:customStyle="1" w:styleId="12">
    <w:name w:val="citation-945"/>
    <w:basedOn w:val="8"/>
    <w:uiPriority w:val="0"/>
  </w:style>
  <w:style w:type="character" w:customStyle="1" w:styleId="13">
    <w:name w:val="citation-944"/>
    <w:basedOn w:val="8"/>
    <w:uiPriority w:val="0"/>
  </w:style>
  <w:style w:type="character" w:customStyle="1" w:styleId="14">
    <w:name w:val="citation-943"/>
    <w:basedOn w:val="8"/>
    <w:uiPriority w:val="0"/>
  </w:style>
  <w:style w:type="character" w:customStyle="1" w:styleId="15">
    <w:name w:val="citation-937"/>
    <w:basedOn w:val="8"/>
    <w:uiPriority w:val="0"/>
  </w:style>
  <w:style w:type="character" w:customStyle="1" w:styleId="16">
    <w:name w:val="citation-936"/>
    <w:basedOn w:val="8"/>
    <w:qFormat/>
    <w:uiPriority w:val="0"/>
  </w:style>
  <w:style w:type="character" w:customStyle="1" w:styleId="17">
    <w:name w:val="citation-935"/>
    <w:basedOn w:val="8"/>
    <w:uiPriority w:val="0"/>
  </w:style>
  <w:style w:type="character" w:customStyle="1" w:styleId="18">
    <w:name w:val="页眉 Char"/>
    <w:basedOn w:val="8"/>
    <w:link w:val="4"/>
    <w:uiPriority w:val="0"/>
    <w:rPr>
      <w:kern w:val="2"/>
      <w:sz w:val="18"/>
      <w:szCs w:val="18"/>
    </w:rPr>
  </w:style>
  <w:style w:type="character" w:customStyle="1" w:styleId="19">
    <w:name w:val="页脚 Char"/>
    <w:basedOn w:val="8"/>
    <w:link w:val="3"/>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2541</Words>
  <Characters>2672</Characters>
  <Lines>19</Lines>
  <Paragraphs>5</Paragraphs>
  <TotalTime>30</TotalTime>
  <ScaleCrop>false</ScaleCrop>
  <LinksUpToDate>false</LinksUpToDate>
  <CharactersWithSpaces>2684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2025-08-21T07:36:00Z</dcterms:created>
  <dc:creator>Transform</dc:creator>
  <cp:lastModifiedBy>Transform</cp:lastModifiedBy>
  <dcterms:modified xsi:type="dcterms:W3CDTF">2025-08-21T08:32:40Z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C6CC3E23EE064C0FBCF18EA1C3E6D0D7_13</vt:lpwstr>
  </property>
  <property fmtid="{D5CDD505-2E9C-101B-9397-08002B2CF9AE}" pid="4" name="KSOTemplateDocerSaveRecord">
    <vt:lpwstr>eyJoZGlkIjoiODU4YWJhNGMyOWY1ZDI2ZDZjZjBkMmIzNWNhN2U1YWYiLCJ1c2VySWQiOiIzMTYxMTczMTMifQ==</vt:lpwstr>
  </property>
</Properties>
</file>