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Style w:val="Strong"/>
          <w:rFonts w:ascii="黑体" w:eastAsia="黑体" w:hAnsi="黑体" w:cs="黑体" w:hint="default"/>
          <w:b w:val="0"/>
          <w:kern w:val="2"/>
          <w:sz w:val="32"/>
          <w:szCs w:val="32"/>
          <w:lang w:val="en-US" w:eastAsia="zh-CN" w:bidi="ar-SA"/>
        </w:rPr>
      </w:pPr>
      <w:r>
        <w:rPr>
          <w:rStyle w:val="Strong"/>
          <w:rFonts w:ascii="黑体" w:eastAsia="黑体" w:hAnsi="黑体" w:cs="黑体" w:hint="eastAsia"/>
          <w:b w:val="0"/>
          <w:kern w:val="2"/>
          <w:sz w:val="32"/>
          <w:szCs w:val="32"/>
          <w:lang w:val="en-US" w:eastAsia="zh-CN" w:bidi="ar-SA"/>
        </w:rPr>
        <w:t>附件2</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Style w:val="Strong"/>
          <w:rFonts w:ascii="黑体" w:eastAsia="黑体" w:hAnsi="黑体" w:cs="黑体" w:hint="default"/>
          <w:b w:val="0"/>
          <w:kern w:val="2"/>
          <w:sz w:val="28"/>
          <w:szCs w:val="28"/>
          <w:lang w:val="en-US" w:eastAsia="zh-CN" w:bidi="ar-SA"/>
        </w:rPr>
      </w:pPr>
    </w:p>
    <w:p>
      <w:pPr>
        <w:widowControl/>
        <w:spacing w:before="0" w:beforeAutospacing="0" w:after="0" w:afterAutospacing="0" w:line="660" w:lineRule="exact"/>
        <w:jc w:val="center"/>
        <w:rPr>
          <w:rStyle w:val="Strong"/>
          <w:rFonts w:ascii="方正小标宋简体" w:eastAsia="方正小标宋简体" w:hAnsi="方正小标宋简体" w:cs="方正小标宋简体" w:hint="eastAsia"/>
          <w:b w:val="0"/>
          <w:kern w:val="0"/>
          <w:sz w:val="44"/>
          <w:szCs w:val="44"/>
          <w:lang w:val="en-US" w:eastAsia="zh-CN" w:bidi="ar-SA"/>
        </w:rPr>
      </w:pPr>
      <w:r>
        <w:rPr>
          <w:rStyle w:val="Strong"/>
          <w:rFonts w:ascii="方正小标宋简体" w:eastAsia="方正小标宋简体" w:hAnsi="方正小标宋简体" w:cs="方正小标宋简体" w:hint="eastAsia"/>
          <w:b w:val="0"/>
          <w:kern w:val="2"/>
          <w:sz w:val="44"/>
          <w:szCs w:val="44"/>
          <w:lang w:val="en-US" w:eastAsia="zh-CN" w:bidi="ar-SA"/>
        </w:rPr>
        <w:t>防雷安全领域重大事故隐患判定标准</w:t>
      </w:r>
    </w:p>
    <w:p>
      <w:pPr>
        <w:widowControl/>
        <w:spacing w:before="0" w:beforeAutospacing="0" w:after="0" w:afterAutospacing="0" w:line="660" w:lineRule="exact"/>
        <w:jc w:val="center"/>
        <w:rPr>
          <w:rStyle w:val="Strong"/>
          <w:rFonts w:ascii="方正小标宋简体" w:eastAsia="方正小标宋简体" w:hAnsi="方正小标宋简体" w:cs="方正小标宋简体" w:hint="eastAsia"/>
          <w:b w:val="0"/>
          <w:kern w:val="0"/>
          <w:sz w:val="44"/>
          <w:szCs w:val="44"/>
          <w:lang w:val="en-US" w:eastAsia="zh-CN" w:bidi="ar-SA"/>
        </w:rPr>
      </w:pPr>
      <w:r>
        <w:rPr>
          <w:rStyle w:val="Strong"/>
          <w:rFonts w:ascii="方正小标宋简体" w:eastAsia="方正小标宋简体" w:hAnsi="方正小标宋简体" w:cs="方正小标宋简体" w:hint="eastAsia"/>
          <w:b w:val="0"/>
          <w:kern w:val="2"/>
          <w:sz w:val="44"/>
          <w:szCs w:val="44"/>
          <w:lang w:val="en-US" w:eastAsia="zh-CN" w:bidi="ar-SA"/>
        </w:rPr>
        <w:t>（试行）</w:t>
      </w:r>
    </w:p>
    <w:p>
      <w:pPr>
        <w:widowControl/>
        <w:spacing w:before="0" w:beforeAutospacing="0" w:after="0" w:afterAutospacing="0" w:line="316" w:lineRule="exact"/>
        <w:jc w:val="center"/>
        <w:rPr>
          <w:rStyle w:val="Strong"/>
          <w:rFonts w:ascii="宋体" w:eastAsia="宋体" w:hAnsi="宋体" w:cs="宋体" w:hint="eastAsia"/>
          <w:kern w:val="0"/>
          <w:sz w:val="32"/>
          <w:szCs w:val="32"/>
          <w:lang w:val="en-US" w:eastAsia="zh-CN" w:bidi="ar-SA"/>
        </w:r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rPr>
          <w:rStyle w:val="Strong"/>
          <w:rFonts w:ascii="仿宋_GB2312" w:eastAsia="仿宋_GB2312" w:hAnsi="仿宋_GB2312" w:cs="仿宋_GB2312" w:hint="eastAsia"/>
          <w:b w:val="0"/>
          <w:color w:val="000000"/>
          <w:kern w:val="0"/>
          <w:sz w:val="32"/>
          <w:szCs w:val="32"/>
          <w:lang w:val="en-US" w:eastAsia="zh-CN" w:bidi="ar-SA"/>
        </w:rPr>
      </w:pPr>
      <w:r>
        <w:rPr>
          <w:rStyle w:val="Strong"/>
          <w:rFonts w:ascii="仿宋_GB2312" w:eastAsia="仿宋_GB2312" w:hAnsi="仿宋_GB2312" w:cs="仿宋_GB2312" w:hint="eastAsia"/>
          <w:b w:val="0"/>
          <w:color w:val="000000"/>
          <w:kern w:val="2"/>
          <w:sz w:val="32"/>
          <w:szCs w:val="32"/>
          <w:lang w:val="en-US" w:eastAsia="zh-CN" w:bidi="ar-SA"/>
        </w:rPr>
        <w:t>根据《中华人民共和国安全生产法》《中华人民共和国气象法》《气象灾害防御条例》《防雷减灾管理办法》《雷电防护装置检测资质管理办法》《雷电防护装置设计审核和竣工验收规定》等有关法律法规和规章，制定防雷安全领域重大事故隐患判定标准。</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textAlignment w:val="baseline"/>
        <w:rPr>
          <w:rStyle w:val="Strong"/>
          <w:rFonts w:ascii="黑体" w:eastAsia="黑体" w:hAnsi="黑体" w:cs="仿宋_GB2312" w:hint="eastAsia"/>
          <w:b w:val="0"/>
          <w:color w:val="000000"/>
          <w:kern w:val="0"/>
          <w:sz w:val="32"/>
          <w:szCs w:val="32"/>
        </w:rPr>
      </w:pPr>
      <w:r>
        <w:rPr>
          <w:rStyle w:val="Strong"/>
          <w:rFonts w:ascii="黑体" w:eastAsia="黑体" w:hAnsi="黑体" w:cs="仿宋_GB2312" w:hint="eastAsia"/>
          <w:b w:val="0"/>
          <w:color w:val="000000"/>
          <w:kern w:val="0"/>
          <w:sz w:val="32"/>
          <w:szCs w:val="32"/>
        </w:rPr>
        <w:t>一、适用范围</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textAlignment w:val="baseline"/>
        <w:rPr>
          <w:rStyle w:val="Strong"/>
          <w:rFonts w:ascii="仿宋_GB2312" w:eastAsia="仿宋_GB2312" w:hAnsi="仿宋_GB2312" w:cs="仿宋_GB2312" w:hint="eastAsia"/>
          <w:b w:val="0"/>
          <w:color w:val="000000"/>
          <w:kern w:val="0"/>
          <w:sz w:val="32"/>
          <w:szCs w:val="32"/>
        </w:rPr>
      </w:pPr>
      <w:r>
        <w:rPr>
          <w:rStyle w:val="Strong"/>
          <w:rFonts w:ascii="仿宋_GB2312" w:eastAsia="仿宋_GB2312" w:hAnsi="仿宋_GB2312" w:cs="仿宋_GB2312" w:hint="eastAsia"/>
          <w:b w:val="0"/>
          <w:bCs w:val="0"/>
          <w:color w:val="000000"/>
          <w:kern w:val="0"/>
          <w:sz w:val="32"/>
          <w:szCs w:val="32"/>
        </w:rPr>
        <w:t>油库、气库、弹药库、化学品仓库、烟花爆竹、石化等易燃易爆建设工程和场所，雷电易发区内的矿区、旅游景点或者投入使用的建（构）筑物、设施等需要单独安装雷电防护装置的场所，以及雷电风险高且没有防雷标准规范、需要进行特殊论证的大型项目</w:t>
      </w:r>
      <w:r>
        <w:rPr>
          <w:rStyle w:val="Strong"/>
          <w:rFonts w:ascii="仿宋_GB2312" w:eastAsia="仿宋_GB2312" w:hAnsi="仿宋_GB2312" w:cs="仿宋_GB2312" w:hint="eastAsia"/>
          <w:b w:val="0"/>
          <w:color w:val="000000"/>
          <w:kern w:val="0"/>
          <w:sz w:val="32"/>
          <w:szCs w:val="32"/>
        </w:rPr>
        <w:t>。</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textAlignment w:val="baseline"/>
        <w:rPr>
          <w:rStyle w:val="Strong"/>
          <w:rFonts w:ascii="黑体" w:eastAsia="黑体" w:hAnsi="黑体" w:cs="仿宋_GB2312" w:hint="eastAsia"/>
          <w:b w:val="0"/>
          <w:color w:val="000000"/>
          <w:kern w:val="0"/>
          <w:sz w:val="32"/>
          <w:szCs w:val="32"/>
        </w:rPr>
      </w:pPr>
      <w:r>
        <w:rPr>
          <w:rStyle w:val="Strong"/>
          <w:rFonts w:ascii="黑体" w:eastAsia="黑体" w:hAnsi="黑体" w:cs="仿宋_GB2312" w:hint="eastAsia"/>
          <w:b w:val="0"/>
          <w:color w:val="000000"/>
          <w:kern w:val="0"/>
          <w:sz w:val="32"/>
          <w:szCs w:val="32"/>
        </w:rPr>
        <w:t>二、防雷安全领域重大事故隐患判定标准</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rPr>
          <w:rStyle w:val="Strong"/>
          <w:rFonts w:ascii="仿宋_GB2312" w:eastAsia="仿宋_GB2312" w:hAnsi="仿宋_GB2312" w:cs="仿宋_GB2312"/>
          <w:b w:val="0"/>
          <w:color w:val="000000"/>
          <w:kern w:val="0"/>
          <w:sz w:val="32"/>
          <w:szCs w:val="32"/>
          <w:lang w:val="en-US" w:eastAsia="zh-CN" w:bidi="ar-SA"/>
        </w:rPr>
      </w:pPr>
      <w:r>
        <w:rPr>
          <w:rStyle w:val="Strong"/>
          <w:rFonts w:ascii="仿宋_GB2312" w:eastAsia="仿宋_GB2312" w:hAnsi="仿宋_GB2312" w:cs="仿宋_GB2312" w:hint="eastAsia"/>
          <w:b w:val="0"/>
          <w:color w:val="000000"/>
          <w:kern w:val="2"/>
          <w:sz w:val="32"/>
          <w:szCs w:val="32"/>
          <w:lang w:val="en-US" w:eastAsia="zh-CN" w:bidi="ar-SA"/>
        </w:rPr>
        <w:t>（一）未将防雷安全纳入本单位安全生产责任体系（包括从主要负责人到一线员工的全员安全生产岗位责任清单、风险分级管控制度、事故隐患排查治理制度和事故应急救援预案等制度规定）的。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rPr>
          <w:rStyle w:val="Strong"/>
          <w:rFonts w:ascii="仿宋_GB2312" w:eastAsia="仿宋_GB2312" w:hAnsi="仿宋_GB2312" w:cs="仿宋_GB2312" w:hint="eastAsia"/>
          <w:b w:val="0"/>
          <w:color w:val="000000"/>
          <w:kern w:val="0"/>
          <w:sz w:val="32"/>
          <w:szCs w:val="32"/>
          <w:lang w:val="en-US" w:eastAsia="zh-CN" w:bidi="ar-SA"/>
        </w:rPr>
      </w:pPr>
      <w:r>
        <w:rPr>
          <w:rStyle w:val="Strong"/>
          <w:rFonts w:ascii="仿宋_GB2312" w:eastAsia="仿宋_GB2312" w:hAnsi="仿宋_GB2312" w:cs="仿宋_GB2312" w:hint="eastAsia"/>
          <w:b w:val="0"/>
          <w:color w:val="000000"/>
          <w:kern w:val="2"/>
          <w:sz w:val="32"/>
          <w:szCs w:val="32"/>
          <w:lang w:val="en-US" w:eastAsia="zh-CN" w:bidi="ar-SA"/>
        </w:rPr>
        <w:t>（二）在生产经营活动中未落实防雷安全责任制度和强制性标准的。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rPr>
          <w:rStyle w:val="Strong"/>
          <w:rFonts w:ascii="仿宋_GB2312" w:eastAsia="仿宋_GB2312" w:hAnsi="仿宋_GB2312" w:cs="仿宋_GB2312" w:hint="eastAsia"/>
          <w:b w:val="0"/>
          <w:color w:val="000000"/>
          <w:kern w:val="0"/>
          <w:sz w:val="32"/>
          <w:szCs w:val="32"/>
          <w:lang w:val="en-US" w:eastAsia="zh-CN" w:bidi="ar-SA"/>
        </w:rPr>
      </w:pPr>
      <w:r>
        <w:rPr>
          <w:rStyle w:val="Strong"/>
          <w:rFonts w:ascii="仿宋_GB2312" w:eastAsia="仿宋_GB2312" w:hAnsi="仿宋_GB2312" w:cs="仿宋_GB2312" w:hint="eastAsia"/>
          <w:b w:val="0"/>
          <w:color w:val="000000"/>
          <w:kern w:val="2"/>
          <w:sz w:val="32"/>
          <w:szCs w:val="32"/>
          <w:lang w:val="en-US" w:eastAsia="zh-CN" w:bidi="ar-SA"/>
        </w:rPr>
        <w:t>（三）雷电防护装置未经设计审核或者设计审核不合格施工的；未经竣工验收或者竣工验收不合格交付使用的。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rPr>
          <w:rStyle w:val="Strong"/>
          <w:rFonts w:ascii="仿宋_GB2312" w:eastAsia="仿宋_GB2312" w:hAnsi="仿宋_GB2312" w:cs="仿宋_GB2312" w:hint="eastAsia"/>
          <w:b w:val="0"/>
          <w:bCs/>
          <w:color w:val="000000"/>
          <w:kern w:val="0"/>
          <w:sz w:val="32"/>
          <w:szCs w:val="32"/>
          <w:lang w:val="en-US" w:eastAsia="zh-CN" w:bidi="ar-SA"/>
        </w:rPr>
      </w:pPr>
      <w:r>
        <w:rPr>
          <w:rStyle w:val="Strong"/>
          <w:rFonts w:ascii="仿宋_GB2312" w:eastAsia="仿宋_GB2312" w:hAnsi="仿宋_GB2312" w:cs="仿宋_GB2312" w:hint="eastAsia"/>
          <w:b w:val="0"/>
          <w:bCs/>
          <w:color w:val="000000"/>
          <w:kern w:val="2"/>
          <w:sz w:val="32"/>
          <w:szCs w:val="32"/>
          <w:lang w:val="en-US" w:eastAsia="zh-CN" w:bidi="ar-SA"/>
        </w:rPr>
        <w:t>（四）在雷电防护装置设计、施工中弄虚作假的。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rPr>
          <w:rStyle w:val="Strong"/>
          <w:rFonts w:ascii="仿宋_GB2312" w:eastAsia="仿宋_GB2312" w:hAnsi="仿宋_GB2312" w:cs="仿宋_GB2312" w:hint="eastAsia"/>
          <w:b w:val="0"/>
          <w:color w:val="000000"/>
          <w:kern w:val="0"/>
          <w:sz w:val="32"/>
          <w:szCs w:val="32"/>
          <w:lang w:val="en-US" w:eastAsia="zh-CN" w:bidi="ar-SA"/>
        </w:rPr>
      </w:pPr>
      <w:r>
        <w:rPr>
          <w:rStyle w:val="Strong"/>
          <w:rFonts w:ascii="仿宋_GB2312" w:eastAsia="仿宋_GB2312" w:hAnsi="仿宋_GB2312" w:cs="仿宋_GB2312" w:hint="eastAsia"/>
          <w:b w:val="0"/>
          <w:color w:val="000000"/>
          <w:kern w:val="2"/>
          <w:sz w:val="32"/>
          <w:szCs w:val="32"/>
          <w:lang w:val="en-US" w:eastAsia="zh-CN" w:bidi="ar-SA"/>
        </w:rPr>
        <w:t>（五）未按国家有关标准采取雷电防护措施的；雷电防护装置失效的。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rPr>
          <w:rStyle w:val="Strong"/>
          <w:rFonts w:ascii="仿宋_GB2312" w:eastAsia="仿宋_GB2312" w:hAnsi="仿宋_GB2312" w:cs="仿宋_GB2312" w:hint="eastAsia"/>
          <w:b w:val="0"/>
          <w:color w:val="000000"/>
          <w:kern w:val="0"/>
          <w:sz w:val="32"/>
          <w:szCs w:val="32"/>
          <w:lang w:val="en-US" w:eastAsia="zh-CN" w:bidi="ar-SA"/>
        </w:rPr>
      </w:pPr>
      <w:r>
        <w:rPr>
          <w:rStyle w:val="Strong"/>
          <w:rFonts w:ascii="仿宋_GB2312" w:eastAsia="仿宋_GB2312" w:hAnsi="仿宋_GB2312" w:cs="仿宋_GB2312" w:hint="eastAsia"/>
          <w:b w:val="0"/>
          <w:color w:val="000000"/>
          <w:kern w:val="2"/>
          <w:sz w:val="32"/>
          <w:szCs w:val="32"/>
          <w:lang w:val="en-US" w:eastAsia="zh-CN" w:bidi="ar-SA"/>
        </w:rPr>
        <w:t>（六）未执行雷电防护装置定期检测制度，或经检测不合格而未按规定整改的。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rPr>
          <w:rStyle w:val="Strong"/>
          <w:rFonts w:ascii="仿宋_GB2312" w:eastAsia="仿宋_GB2312" w:hAnsi="仿宋_GB2312" w:cs="仿宋_GB2312" w:hint="default"/>
          <w:b w:val="0"/>
          <w:color w:val="000000"/>
          <w:kern w:val="0"/>
          <w:sz w:val="32"/>
          <w:szCs w:val="32"/>
          <w:lang w:val="en-US" w:eastAsia="zh-CN" w:bidi="ar-SA"/>
        </w:rPr>
      </w:pPr>
      <w:r>
        <w:rPr>
          <w:rStyle w:val="Strong"/>
          <w:rFonts w:ascii="仿宋_GB2312" w:eastAsia="仿宋_GB2312" w:hAnsi="仿宋_GB2312" w:cs="仿宋_GB2312" w:hint="eastAsia"/>
          <w:b w:val="0"/>
          <w:color w:val="000000"/>
          <w:kern w:val="2"/>
          <w:sz w:val="32"/>
          <w:szCs w:val="32"/>
          <w:lang w:val="en-US" w:eastAsia="zh-CN" w:bidi="ar-SA"/>
        </w:rPr>
        <w:t>（七）委托低于相应资质等级的雷电防护装置检测单位对其进行定期检测的。</w:t>
      </w:r>
    </w:p>
    <w:p>
      <w:pPr>
        <w:keepNext w:val="0"/>
        <w:keepLines w:val="0"/>
        <w:pageBreakBefore w:val="0"/>
        <w:widowControl w:val="0"/>
        <w:shd w:val="clear" w:color="auto" w:fill="FFFFFF"/>
        <w:kinsoku/>
        <w:wordWrap/>
        <w:overflowPunct/>
        <w:topLinePunct w:val="0"/>
        <w:autoSpaceDE/>
        <w:autoSpaceDN/>
        <w:bidi w:val="0"/>
        <w:adjustRightInd/>
        <w:snapToGrid/>
        <w:spacing w:line="580" w:lineRule="exact"/>
        <w:ind w:firstLine="640" w:firstLineChars="200"/>
        <w:textAlignment w:val="baseline"/>
        <w:rPr>
          <w:rStyle w:val="Strong"/>
          <w:rFonts w:ascii="黑体" w:eastAsia="黑体" w:hAnsi="黑体" w:cs="仿宋_GB2312" w:hint="eastAsia"/>
          <w:b w:val="0"/>
          <w:color w:val="000000"/>
          <w:kern w:val="0"/>
          <w:sz w:val="32"/>
          <w:szCs w:val="32"/>
        </w:rPr>
      </w:pPr>
      <w:r>
        <w:rPr>
          <w:rStyle w:val="Strong"/>
          <w:rFonts w:ascii="黑体" w:eastAsia="黑体" w:hAnsi="黑体" w:cs="仿宋_GB2312" w:hint="eastAsia"/>
          <w:b w:val="0"/>
          <w:color w:val="000000"/>
          <w:kern w:val="0"/>
          <w:sz w:val="32"/>
          <w:szCs w:val="32"/>
        </w:rPr>
        <w:t>三、标准的解释</w:t>
      </w:r>
    </w:p>
    <w:p>
      <w:pPr>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Style w:val="Strong"/>
          <w:rFonts w:ascii="仿宋_GB2312" w:eastAsia="仿宋_GB2312" w:hAnsi="仿宋_GB2312" w:cs="仿宋_GB2312" w:hint="eastAsia"/>
          <w:b w:val="0"/>
          <w:color w:val="000000"/>
          <w:kern w:val="0"/>
          <w:sz w:val="32"/>
          <w:szCs w:val="32"/>
          <w:lang w:val="en-US" w:eastAsia="zh-CN" w:bidi="ar-SA"/>
        </w:rPr>
      </w:pPr>
      <w:r>
        <w:rPr>
          <w:rStyle w:val="Strong"/>
          <w:rFonts w:ascii="仿宋_GB2312" w:eastAsia="仿宋_GB2312" w:hAnsi="仿宋_GB2312" w:cs="仿宋_GB2312" w:hint="eastAsia"/>
          <w:b w:val="0"/>
          <w:color w:val="000000"/>
          <w:kern w:val="2"/>
          <w:sz w:val="32"/>
          <w:szCs w:val="32"/>
          <w:lang w:val="en-US" w:eastAsia="zh-CN" w:bidi="ar-SA"/>
        </w:rPr>
        <w:t>本判定标准由中国气象局政策法规司负责解释。</w:t>
      </w:r>
    </w:p>
    <w:p>
      <w:pPr>
        <w:keepNext w:val="0"/>
        <w:keepLines w:val="0"/>
        <w:pageBreakBefore w:val="0"/>
        <w:widowControl w:val="0"/>
        <w:kinsoku/>
        <w:wordWrap/>
        <w:overflowPunct/>
        <w:topLinePunct w:val="0"/>
        <w:autoSpaceDE/>
        <w:autoSpaceDN/>
        <w:bidi w:val="0"/>
        <w:adjustRightInd/>
        <w:snapToGrid/>
        <w:spacing w:line="580" w:lineRule="exact"/>
      </w:pPr>
    </w:p>
    <w:sectPr>
      <w:footerReference w:type="default" r:id="rId5"/>
      <w:pgSz w:w="11906" w:h="16838"/>
      <w:pgMar w:top="1440" w:right="1800" w:bottom="1440" w:left="1800" w:header="851" w:footer="992" w:gutter="0"/>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8240" behindDoc="0" locked="0" layoutInCell="1" allowOverlap="1">
              <wp:simplePos x="0" y="0"/>
              <wp:positionH relativeFrom="margin">
                <wp:posOffset>4622165</wp:posOffset>
              </wp:positionH>
              <wp:positionV relativeFrom="paragraph">
                <wp:posOffset>0</wp:posOffset>
              </wp:positionV>
              <wp:extent cx="772795"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77279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p>
                          <w:pPr>
                            <w:pStyle w:val="Footer"/>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49" type="#_x0000_t202" style="width:60.85pt;height:2in;margin-top:0;margin-left:363.95pt;mso-height-relative:page;mso-position-horizontal-relative:margin;mso-width-relative:page;position:absolute;z-index:251659264" coordsize="21600,21600" filled="f" stroked="f">
              <o:lock v:ext="edit" aspectratio="f"/>
              <v:textbox style="mso-fit-shape-to-text:t" inset="0,0,0,0">
                <w:txbxContent>
                  <w:p>
                    <w:pPr>
                      <w:pStyle w:val="Foo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p>
                    <w:pPr>
                      <w:pStyle w:val="Footer"/>
                    </w:pPr>
                  </w:p>
                </w:txbxContent>
              </v:textbox>
              <w10:wrap anchorx="margin"/>
            </v:shape>
          </w:pict>
        </mc:Fallback>
      </mc:AlternateContent>
    </w:r>
  </w:p>
</w:ft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陈伟捷:排版">
    <w15:presenceInfo w15:providerId="None" w15:userId="陈伟捷:排版"/>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revisionView w:comments="1" w:formatting="1" w:inkAnnotations="1" w:insDel="1" w:markup="0"/>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BFF511F8"/>
    <w:rsid w:val="BFF511F8"/>
    <w:rsid w:val="DF5C5987"/>
    <w:rsid w:val="FDFEE592"/>
    <w:rsid w:val="FF7F3B21"/>
    <w:rsid w:val="3E6D23EA"/>
    <w:rsid w:val="6EFFCCD1"/>
    <w:rsid w:val="72FEAB7B"/>
    <w:rsid w:val="7BFBE8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560" w:lineRule="exact"/>
      <w:jc w:val="both"/>
    </w:pPr>
    <w:rPr>
      <w:rFonts w:ascii="Times New Roman" w:eastAsia="仿宋_GB2312" w:hAnsi="Times New Roman" w:cs="Times New Roman"/>
      <w:kern w:val="2"/>
      <w:sz w:val="3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character" w:styleId="Strong">
    <w:name w:val="Strong"/>
    <w:qFormat/>
    <w:rPr>
      <w:rFonts w:ascii="Times New Roman" w:eastAsia="宋体"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 Id="rId8" Type="http://schemas.microsoft.com/office/2011/relationships/people" Target="peop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林彦博</dc:creator>
  <cp:lastModifiedBy>陈伟捷:排版</cp:lastModifiedBy>
  <cp:revision>1</cp:revision>
  <dcterms:created xsi:type="dcterms:W3CDTF">2025-01-01T03:25:00Z</dcterms:created>
  <dcterms:modified xsi:type="dcterms:W3CDTF">2025-01-14T11:39:38Z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M_INFO_ID" linkTarget="-1">
    <vt:lpwstr>250114114340BnzGr9slP7mcUiSqWr7</vt:lpwstr>
  </property>
  <property fmtid="{D5CDD505-2E9C-101B-9397-08002B2CF9AE}" pid="3" name="ICV">
    <vt:lpwstr>4F3D1B3233B5A3C850147267D40663D7</vt:lpwstr>
  </property>
  <property fmtid="{D5CDD505-2E9C-101B-9397-08002B2CF9AE}" pid="4" name="KSOProductBuildVer">
    <vt:lpwstr>2052-11.8.2.10458</vt:lpwstr>
  </property>
</Properties>
</file>