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exact"/>
        <w:jc w:val="center"/>
        <w:rPr>
          <w:rFonts w:hint="eastAsia" w:ascii="方正小标宋简体" w:eastAsia="方正小标宋简体"/>
          <w:bCs/>
          <w:color w:val="000000"/>
          <w:sz w:val="44"/>
        </w:rPr>
      </w:pPr>
      <w:r>
        <w:rPr>
          <w:rFonts w:hint="eastAsia" w:ascii="方正小标宋简体" w:eastAsia="方正小标宋简体"/>
          <w:bCs/>
          <w:color w:val="000000"/>
          <w:sz w:val="44"/>
        </w:rPr>
        <w:t>罗源县气象局2023年度</w:t>
      </w:r>
    </w:p>
    <w:p>
      <w:pPr>
        <w:snapToGrid w:val="0"/>
        <w:spacing w:line="700" w:lineRule="exact"/>
        <w:jc w:val="center"/>
        <w:rPr>
          <w:rFonts w:hint="eastAsia" w:ascii="方正小标宋简体" w:eastAsia="方正小标宋简体"/>
          <w:bCs/>
          <w:color w:val="000000"/>
          <w:sz w:val="44"/>
        </w:rPr>
      </w:pPr>
      <w:r>
        <w:rPr>
          <w:rFonts w:hint="eastAsia" w:ascii="方正小标宋简体" w:eastAsia="方正小标宋简体"/>
          <w:bCs/>
          <w:color w:val="000000"/>
          <w:sz w:val="44"/>
        </w:rPr>
        <w:t>政府信息公开工作年度报告</w:t>
      </w:r>
    </w:p>
    <w:p>
      <w:pPr>
        <w:snapToGrid w:val="0"/>
        <w:spacing w:line="316" w:lineRule="exact"/>
        <w:jc w:val="center"/>
        <w:rPr>
          <w:rFonts w:ascii="仿宋_GB2312"/>
          <w:color w:val="000000"/>
          <w:spacing w:val="-6"/>
        </w:rPr>
      </w:pPr>
    </w:p>
    <w:p>
      <w:pPr>
        <w:adjustRightInd w:val="0"/>
        <w:snapToGrid w:val="0"/>
        <w:ind w:firstLine="632" w:firstLineChars="200"/>
        <w:rPr>
          <w:rStyle w:val="7"/>
          <w:rFonts w:hint="eastAsia" w:ascii="黑体" w:hAnsi="黑体" w:eastAsia="黑体"/>
          <w:color w:val="000000"/>
        </w:rPr>
      </w:pPr>
      <w:bookmarkStart w:id="0" w:name="主送"/>
      <w:bookmarkEnd w:id="0"/>
      <w:bookmarkStart w:id="1" w:name="开始"/>
      <w:bookmarkEnd w:id="1"/>
      <w:r>
        <w:rPr>
          <w:rStyle w:val="7"/>
          <w:rFonts w:hint="eastAsia" w:ascii="黑体" w:hAnsi="黑体" w:eastAsia="黑体"/>
          <w:color w:val="000000"/>
          <w:szCs w:val="32"/>
        </w:rPr>
        <w:t>一、总体情况</w:t>
      </w:r>
    </w:p>
    <w:p>
      <w:pPr>
        <w:pStyle w:val="8"/>
        <w:spacing w:before="0" w:beforeAutospacing="0" w:after="0" w:afterAutospacing="0" w:line="560" w:lineRule="exact"/>
        <w:ind w:firstLine="632" w:firstLineChars="200"/>
        <w:jc w:val="both"/>
        <w:rPr>
          <w:rFonts w:hint="eastAsia" w:ascii="仿宋_GB2312" w:hAnsi="仿宋_GB2312" w:eastAsia="仿宋_GB2312" w:cs="仿宋_GB2312"/>
          <w:color w:val="000000"/>
          <w:sz w:val="32"/>
          <w:szCs w:val="32"/>
          <w:shd w:val="clear" w:color="auto" w:fill="FFFFFF"/>
        </w:rPr>
      </w:pPr>
      <w:r>
        <w:rPr>
          <w:rStyle w:val="7"/>
          <w:rFonts w:hint="eastAsia" w:ascii="仿宋_GB2312" w:hAnsi="宋体" w:eastAsia="仿宋_GB2312"/>
          <w:color w:val="000000"/>
          <w:sz w:val="32"/>
          <w:szCs w:val="32"/>
        </w:rPr>
        <w:t>202</w:t>
      </w:r>
      <w:r>
        <w:rPr>
          <w:rStyle w:val="7"/>
          <w:rFonts w:ascii="仿宋_GB2312" w:hAnsi="宋体" w:eastAsia="仿宋_GB2312"/>
          <w:color w:val="000000"/>
          <w:sz w:val="32"/>
          <w:szCs w:val="32"/>
        </w:rPr>
        <w:t>3</w:t>
      </w:r>
      <w:r>
        <w:rPr>
          <w:rStyle w:val="7"/>
          <w:rFonts w:hint="eastAsia" w:ascii="仿宋_GB2312" w:hAnsi="宋体" w:eastAsia="仿宋_GB2312"/>
          <w:color w:val="000000"/>
          <w:sz w:val="32"/>
          <w:szCs w:val="32"/>
        </w:rPr>
        <w:t>年度，罗源县气象局认真落实政府公开工作要求，进一步完善工作机制，通过增强工作力量、严格公开审查程序及加强工作督导等措施，着力提高政府信息公开整体质量，较好地完成了全年工作任务，有效保障新形势下公民的知情权、参与权和监督权。现根据《中华人民共和国政府信息公开条例》和《气象部门政府信息公开办法》等相关规定，</w:t>
      </w:r>
      <w:r>
        <w:rPr>
          <w:rFonts w:hint="eastAsia" w:ascii="仿宋_GB2312" w:hAnsi="仿宋_GB2312" w:eastAsia="仿宋_GB2312" w:cs="仿宋_GB2312"/>
          <w:color w:val="000000"/>
          <w:sz w:val="32"/>
          <w:szCs w:val="32"/>
          <w:shd w:val="clear" w:color="auto" w:fill="FFFFFF"/>
        </w:rPr>
        <w:t>我局编制本报告。报告全文由总体情况、行政机关主动公开政府信息情况、行政机关收到和处理政府信息公开申请情况、因政府信息公开工作被申请行政复议、提起行政诉讼情况、政府信息公开工作存在的主要问题及改进情况以及其他需要报告的事项共六部分组成。本报告中所列数据的统计时限自202</w:t>
      </w:r>
      <w:r>
        <w:rPr>
          <w:rFonts w:ascii="仿宋_GB2312" w:hAnsi="仿宋_GB2312" w:eastAsia="仿宋_GB2312" w:cs="仿宋_GB2312"/>
          <w:color w:val="000000"/>
          <w:sz w:val="32"/>
          <w:szCs w:val="32"/>
          <w:shd w:val="clear" w:color="auto" w:fill="FFFFFF"/>
        </w:rPr>
        <w:t>3</w:t>
      </w:r>
      <w:r>
        <w:rPr>
          <w:rFonts w:hint="eastAsia" w:ascii="仿宋_GB2312" w:hAnsi="仿宋_GB2312" w:eastAsia="仿宋_GB2312" w:cs="仿宋_GB2312"/>
          <w:color w:val="000000"/>
          <w:sz w:val="32"/>
          <w:szCs w:val="32"/>
          <w:shd w:val="clear" w:color="auto" w:fill="FFFFFF"/>
        </w:rPr>
        <w:t>年1月1日至202</w:t>
      </w:r>
      <w:r>
        <w:rPr>
          <w:rFonts w:ascii="仿宋_GB2312" w:hAnsi="仿宋_GB2312" w:eastAsia="仿宋_GB2312" w:cs="仿宋_GB2312"/>
          <w:color w:val="000000"/>
          <w:sz w:val="32"/>
          <w:szCs w:val="32"/>
          <w:shd w:val="clear" w:color="auto" w:fill="FFFFFF"/>
        </w:rPr>
        <w:t>3</w:t>
      </w:r>
      <w:r>
        <w:rPr>
          <w:rFonts w:hint="eastAsia" w:ascii="仿宋_GB2312" w:hAnsi="仿宋_GB2312" w:eastAsia="仿宋_GB2312" w:cs="仿宋_GB2312"/>
          <w:color w:val="000000"/>
          <w:sz w:val="32"/>
          <w:szCs w:val="32"/>
          <w:shd w:val="clear" w:color="auto" w:fill="FFFFFF"/>
        </w:rPr>
        <w:t>年12月31日。</w:t>
      </w:r>
    </w:p>
    <w:p>
      <w:pPr>
        <w:snapToGrid w:val="0"/>
        <w:ind w:firstLine="632" w:firstLineChars="200"/>
        <w:rPr>
          <w:rFonts w:hint="eastAsia" w:ascii="楷体_GB2312" w:hAnsi="仿宋_GB2312" w:eastAsia="楷体_GB2312" w:cs="仿宋_GB2312"/>
          <w:color w:val="000000"/>
          <w:kern w:val="0"/>
          <w:szCs w:val="32"/>
          <w:shd w:val="clear" w:color="auto" w:fill="FFFFFF"/>
        </w:rPr>
      </w:pPr>
      <w:r>
        <w:rPr>
          <w:rFonts w:hint="eastAsia" w:ascii="楷体_GB2312" w:hAnsi="仿宋_GB2312" w:eastAsia="楷体_GB2312" w:cs="仿宋_GB2312"/>
          <w:color w:val="000000"/>
          <w:kern w:val="0"/>
          <w:szCs w:val="32"/>
          <w:shd w:val="clear" w:color="auto" w:fill="FFFFFF"/>
        </w:rPr>
        <w:t>（一）主动公开政府信息数量</w:t>
      </w:r>
      <w:r>
        <w:rPr>
          <w:rFonts w:hint="eastAsia" w:ascii="楷体_GB2312" w:hAnsi="仿宋_GB2312" w:eastAsia="楷体_GB2312" w:cs="仿宋_GB2312"/>
          <w:color w:val="000000"/>
          <w:kern w:val="0"/>
          <w:szCs w:val="32"/>
          <w:shd w:val="clear" w:color="auto" w:fill="FFFFFF"/>
        </w:rPr>
        <w:tab/>
      </w:r>
    </w:p>
    <w:p>
      <w:pPr>
        <w:ind w:firstLine="632" w:firstLineChars="200"/>
        <w:rPr>
          <w:rFonts w:hint="eastAsia" w:ascii="仿宋_GB2312" w:hAnsi="仿宋_GB2312" w:cs="仿宋_GB2312"/>
          <w:color w:val="000000"/>
          <w:kern w:val="0"/>
          <w:szCs w:val="32"/>
          <w:shd w:val="clear" w:color="auto" w:fill="FFFFFF"/>
        </w:rPr>
      </w:pPr>
      <w:r>
        <w:rPr>
          <w:rFonts w:hint="eastAsia" w:ascii="仿宋_GB2312" w:hAnsi="仿宋_GB2312" w:cs="仿宋_GB2312"/>
          <w:color w:val="000000"/>
          <w:kern w:val="0"/>
          <w:szCs w:val="32"/>
          <w:shd w:val="clear" w:color="auto" w:fill="FFFFFF"/>
        </w:rPr>
        <w:t>202</w:t>
      </w:r>
      <w:r>
        <w:rPr>
          <w:rFonts w:ascii="仿宋_GB2312" w:hAnsi="仿宋_GB2312" w:cs="仿宋_GB2312"/>
          <w:color w:val="000000"/>
          <w:kern w:val="0"/>
          <w:szCs w:val="32"/>
          <w:shd w:val="clear" w:color="auto" w:fill="FFFFFF"/>
        </w:rPr>
        <w:t>3</w:t>
      </w:r>
      <w:r>
        <w:rPr>
          <w:rFonts w:hint="eastAsia" w:ascii="仿宋_GB2312" w:hAnsi="仿宋_GB2312" w:cs="仿宋_GB2312"/>
          <w:color w:val="000000"/>
          <w:kern w:val="0"/>
          <w:szCs w:val="32"/>
          <w:shd w:val="clear" w:color="auto" w:fill="FFFFFF"/>
        </w:rPr>
        <w:t>年1月1日至202</w:t>
      </w:r>
      <w:r>
        <w:rPr>
          <w:rFonts w:ascii="仿宋_GB2312" w:hAnsi="仿宋_GB2312" w:cs="仿宋_GB2312"/>
          <w:color w:val="000000"/>
          <w:kern w:val="0"/>
          <w:szCs w:val="32"/>
          <w:shd w:val="clear" w:color="auto" w:fill="FFFFFF"/>
        </w:rPr>
        <w:t>3</w:t>
      </w:r>
      <w:r>
        <w:rPr>
          <w:rFonts w:hint="eastAsia" w:ascii="仿宋_GB2312" w:hAnsi="仿宋_GB2312" w:cs="仿宋_GB2312"/>
          <w:color w:val="000000"/>
          <w:kern w:val="0"/>
          <w:szCs w:val="32"/>
          <w:shd w:val="clear" w:color="auto" w:fill="FFFFFF"/>
        </w:rPr>
        <w:t>年12月31日，本局共主动公开政府信息</w:t>
      </w:r>
      <w:r>
        <w:rPr>
          <w:rFonts w:ascii="仿宋_GB2312" w:hAnsi="仿宋_GB2312" w:cs="仿宋_GB2312"/>
          <w:color w:val="000000"/>
          <w:kern w:val="0"/>
          <w:szCs w:val="32"/>
          <w:shd w:val="clear" w:color="auto" w:fill="FFFFFF"/>
        </w:rPr>
        <w:t>4</w:t>
      </w:r>
      <w:r>
        <w:rPr>
          <w:rFonts w:hint="eastAsia" w:ascii="仿宋_GB2312" w:hAnsi="仿宋_GB2312" w:cs="仿宋_GB2312"/>
          <w:color w:val="000000"/>
          <w:kern w:val="0"/>
          <w:szCs w:val="32"/>
          <w:shd w:val="clear" w:color="auto" w:fill="FFFFFF"/>
        </w:rPr>
        <w:t>条，历年累计主动公开政府信息</w:t>
      </w:r>
      <w:r>
        <w:rPr>
          <w:rFonts w:ascii="仿宋_GB2312" w:hAnsi="仿宋_GB2312" w:cs="仿宋_GB2312"/>
          <w:color w:val="000000"/>
          <w:kern w:val="0"/>
          <w:szCs w:val="32"/>
          <w:shd w:val="clear" w:color="auto" w:fill="FFFFFF"/>
        </w:rPr>
        <w:t>63</w:t>
      </w:r>
      <w:r>
        <w:rPr>
          <w:rFonts w:hint="eastAsia" w:ascii="仿宋_GB2312" w:hAnsi="仿宋_GB2312" w:cs="仿宋_GB2312"/>
          <w:color w:val="000000"/>
          <w:kern w:val="0"/>
          <w:szCs w:val="32"/>
          <w:shd w:val="clear" w:color="auto" w:fill="FFFFFF"/>
        </w:rPr>
        <w:t>条，全文电子化率为100%。</w:t>
      </w:r>
    </w:p>
    <w:p>
      <w:pPr>
        <w:snapToGrid w:val="0"/>
        <w:ind w:firstLine="632" w:firstLineChars="200"/>
        <w:rPr>
          <w:rFonts w:hint="eastAsia" w:ascii="楷体_GB2312" w:hAnsi="仿宋_GB2312" w:eastAsia="楷体_GB2312" w:cs="仿宋_GB2312"/>
          <w:color w:val="000000"/>
          <w:kern w:val="0"/>
          <w:szCs w:val="32"/>
          <w:shd w:val="clear" w:color="auto" w:fill="FFFFFF"/>
        </w:rPr>
      </w:pPr>
      <w:r>
        <w:rPr>
          <w:rFonts w:hint="eastAsia" w:ascii="楷体_GB2312" w:hAnsi="仿宋_GB2312" w:eastAsia="楷体_GB2312" w:cs="仿宋_GB2312"/>
          <w:color w:val="000000"/>
          <w:kern w:val="0"/>
          <w:szCs w:val="32"/>
          <w:shd w:val="clear" w:color="auto" w:fill="FFFFFF"/>
        </w:rPr>
        <w:t>（二）主动公开政府信息的主要类别</w:t>
      </w:r>
    </w:p>
    <w:p>
      <w:pPr>
        <w:ind w:firstLine="632" w:firstLineChars="200"/>
        <w:rPr>
          <w:rFonts w:hint="eastAsia" w:ascii="仿宋_GB2312" w:hAnsi="仿宋_GB2312" w:cs="仿宋_GB2312"/>
          <w:color w:val="000000"/>
          <w:kern w:val="0"/>
          <w:szCs w:val="32"/>
          <w:shd w:val="clear" w:color="auto" w:fill="FFFFFF"/>
        </w:rPr>
      </w:pPr>
      <w:r>
        <w:rPr>
          <w:rFonts w:hint="eastAsia" w:ascii="仿宋_GB2312" w:hAnsi="仿宋_GB2312" w:cs="仿宋_GB2312"/>
          <w:color w:val="000000"/>
          <w:kern w:val="0"/>
          <w:szCs w:val="32"/>
          <w:shd w:val="clear" w:color="auto" w:fill="FFFFFF"/>
        </w:rPr>
        <w:t>根据《条例》要求，结合我县实际，我局主要从以下几个类别进行主动公开：1、机构与职能；2、法规标准；3、政策文件；4、规划计划；5、行政执法；6、财政资金；7、其他信息。</w:t>
      </w:r>
    </w:p>
    <w:p>
      <w:pPr>
        <w:snapToGrid w:val="0"/>
        <w:ind w:firstLine="632" w:firstLineChars="200"/>
        <w:rPr>
          <w:rFonts w:hint="eastAsia" w:ascii="楷体_GB2312" w:hAnsi="仿宋_GB2312" w:eastAsia="楷体_GB2312" w:cs="仿宋_GB2312"/>
          <w:color w:val="000000"/>
          <w:kern w:val="0"/>
          <w:szCs w:val="32"/>
          <w:shd w:val="clear" w:color="auto" w:fill="FFFFFF"/>
        </w:rPr>
      </w:pPr>
      <w:r>
        <w:rPr>
          <w:rFonts w:hint="eastAsia" w:ascii="楷体_GB2312" w:hAnsi="仿宋_GB2312" w:eastAsia="楷体_GB2312" w:cs="仿宋_GB2312"/>
          <w:color w:val="000000"/>
          <w:kern w:val="0"/>
          <w:szCs w:val="32"/>
          <w:shd w:val="clear" w:color="auto" w:fill="FFFFFF"/>
        </w:rPr>
        <w:t>（三）加强政府信息公开工作队伍建设</w:t>
      </w:r>
    </w:p>
    <w:p>
      <w:pPr>
        <w:ind w:firstLine="632" w:firstLineChars="200"/>
        <w:rPr>
          <w:rFonts w:hint="eastAsia" w:ascii="仿宋_GB2312" w:hAnsi="仿宋_GB2312" w:cs="仿宋_GB2312"/>
          <w:color w:val="000000"/>
          <w:kern w:val="0"/>
          <w:szCs w:val="32"/>
          <w:shd w:val="clear" w:color="auto" w:fill="FFFFFF"/>
        </w:rPr>
      </w:pPr>
      <w:r>
        <w:rPr>
          <w:rFonts w:hint="eastAsia" w:ascii="仿宋_GB2312" w:hAnsi="仿宋_GB2312" w:cs="仿宋_GB2312"/>
          <w:color w:val="000000"/>
          <w:kern w:val="0"/>
          <w:szCs w:val="32"/>
          <w:shd w:val="clear" w:color="auto" w:fill="FFFFFF"/>
        </w:rPr>
        <w:t>根据省、市相关文件精神，我局结合工作实际，科学规范政府信息公开工作，完善依申请受理、办理、回复、归档等环节的流程，为我局信息公开提供有效的体制机制保障。目前我局落实1名兼职人员负责政府信息公开工作；组织学习政府信息公开丰关指导文件，不断提高工作人员依法公开政府信息的意识和能力。</w:t>
      </w:r>
    </w:p>
    <w:p>
      <w:pPr>
        <w:snapToGrid w:val="0"/>
        <w:ind w:firstLine="632" w:firstLineChars="200"/>
        <w:rPr>
          <w:rFonts w:hint="eastAsia" w:ascii="楷体_GB2312" w:hAnsi="仿宋_GB2312" w:eastAsia="楷体_GB2312" w:cs="仿宋_GB2312"/>
          <w:color w:val="000000"/>
          <w:kern w:val="0"/>
          <w:szCs w:val="32"/>
          <w:shd w:val="clear" w:color="auto" w:fill="FFFFFF"/>
        </w:rPr>
      </w:pPr>
      <w:r>
        <w:rPr>
          <w:rFonts w:hint="eastAsia" w:ascii="楷体_GB2312" w:hAnsi="仿宋_GB2312" w:eastAsia="楷体_GB2312" w:cs="仿宋_GB2312"/>
          <w:color w:val="000000"/>
          <w:kern w:val="0"/>
          <w:szCs w:val="32"/>
          <w:shd w:val="clear" w:color="auto" w:fill="FFFFFF"/>
        </w:rPr>
        <w:t>（四）202</w:t>
      </w:r>
      <w:r>
        <w:rPr>
          <w:rFonts w:ascii="楷体_GB2312" w:hAnsi="仿宋_GB2312" w:eastAsia="楷体_GB2312" w:cs="仿宋_GB2312"/>
          <w:color w:val="000000"/>
          <w:kern w:val="0"/>
          <w:szCs w:val="32"/>
          <w:shd w:val="clear" w:color="auto" w:fill="FFFFFF"/>
        </w:rPr>
        <w:t>3</w:t>
      </w:r>
      <w:r>
        <w:rPr>
          <w:rFonts w:hint="eastAsia" w:ascii="楷体_GB2312" w:hAnsi="仿宋_GB2312" w:eastAsia="楷体_GB2312" w:cs="仿宋_GB2312"/>
          <w:color w:val="000000"/>
          <w:kern w:val="0"/>
          <w:szCs w:val="32"/>
          <w:shd w:val="clear" w:color="auto" w:fill="FFFFFF"/>
        </w:rPr>
        <w:t>年罗源县气象局政务公开工作部署和落实情况</w:t>
      </w:r>
    </w:p>
    <w:p>
      <w:pPr>
        <w:snapToGrid w:val="0"/>
        <w:ind w:firstLine="632" w:firstLineChars="200"/>
        <w:rPr>
          <w:rFonts w:hint="eastAsia" w:ascii="仿宋_GB2312" w:hAnsi="仿宋_GB2312" w:cs="仿宋_GB2312"/>
          <w:color w:val="000000"/>
          <w:kern w:val="0"/>
          <w:szCs w:val="32"/>
          <w:shd w:val="clear" w:color="auto" w:fill="FFFFFF"/>
        </w:rPr>
      </w:pPr>
      <w:r>
        <w:rPr>
          <w:rFonts w:hint="eastAsia" w:ascii="仿宋_GB2312" w:hAnsi="仿宋_GB2312" w:cs="仿宋_GB2312"/>
          <w:color w:val="000000"/>
          <w:kern w:val="0"/>
          <w:szCs w:val="32"/>
          <w:shd w:val="clear" w:color="auto" w:fill="FFFFFF"/>
        </w:rPr>
        <w:t>1.强化组织领导。罗源县气象局成立了政务公开工作领导小组，由县气象局局长任组长，领导班子其他成员任副组长，各科室负责人为成员，进一步增强政务公开工作的领导和管理。</w:t>
      </w:r>
    </w:p>
    <w:p>
      <w:pPr>
        <w:snapToGrid w:val="0"/>
        <w:ind w:firstLine="632" w:firstLineChars="200"/>
        <w:rPr>
          <w:rFonts w:hint="eastAsia" w:ascii="仿宋_GB2312" w:hAnsi="仿宋_GB2312" w:cs="仿宋_GB2312"/>
          <w:color w:val="000000"/>
          <w:kern w:val="0"/>
          <w:szCs w:val="32"/>
          <w:shd w:val="clear" w:color="auto" w:fill="FFFFFF"/>
        </w:rPr>
      </w:pPr>
      <w:r>
        <w:rPr>
          <w:rFonts w:hint="eastAsia" w:ascii="仿宋_GB2312" w:hAnsi="仿宋_GB2312" w:cs="仿宋_GB2312"/>
          <w:color w:val="000000"/>
          <w:kern w:val="0"/>
          <w:szCs w:val="32"/>
          <w:shd w:val="clear" w:color="auto" w:fill="FFFFFF"/>
        </w:rPr>
        <w:t>2.细化工作方案。根据《罗源县人民政府办公室关于印发202</w:t>
      </w:r>
      <w:r>
        <w:rPr>
          <w:rFonts w:ascii="仿宋_GB2312" w:hAnsi="仿宋_GB2312" w:cs="仿宋_GB2312"/>
          <w:color w:val="000000"/>
          <w:kern w:val="0"/>
          <w:szCs w:val="32"/>
          <w:shd w:val="clear" w:color="auto" w:fill="FFFFFF"/>
        </w:rPr>
        <w:t>3</w:t>
      </w:r>
      <w:r>
        <w:rPr>
          <w:rFonts w:hint="eastAsia" w:ascii="仿宋_GB2312" w:hAnsi="仿宋_GB2312" w:cs="仿宋_GB2312"/>
          <w:color w:val="000000"/>
          <w:kern w:val="0"/>
          <w:szCs w:val="32"/>
          <w:shd w:val="clear" w:color="auto" w:fill="FFFFFF"/>
        </w:rPr>
        <w:t>年全县政务公开绩效指标考核评估办法的通知》（〔202</w:t>
      </w:r>
      <w:r>
        <w:rPr>
          <w:rFonts w:ascii="仿宋_GB2312" w:hAnsi="仿宋_GB2312" w:cs="仿宋_GB2312"/>
          <w:color w:val="000000"/>
          <w:kern w:val="0"/>
          <w:szCs w:val="32"/>
          <w:shd w:val="clear" w:color="auto" w:fill="FFFFFF"/>
        </w:rPr>
        <w:t>3</w:t>
      </w:r>
      <w:r>
        <w:rPr>
          <w:rFonts w:hint="eastAsia" w:ascii="仿宋_GB2312" w:hAnsi="仿宋_GB2312" w:cs="仿宋_GB2312"/>
          <w:color w:val="000000"/>
          <w:kern w:val="0"/>
          <w:szCs w:val="32"/>
          <w:shd w:val="clear" w:color="auto" w:fill="FFFFFF"/>
        </w:rPr>
        <w:t>〕</w:t>
      </w:r>
      <w:r>
        <w:rPr>
          <w:rFonts w:ascii="仿宋_GB2312" w:hAnsi="仿宋_GB2312" w:cs="仿宋_GB2312"/>
          <w:color w:val="000000"/>
          <w:kern w:val="0"/>
          <w:szCs w:val="32"/>
          <w:shd w:val="clear" w:color="auto" w:fill="FFFFFF"/>
        </w:rPr>
        <w:t>78</w:t>
      </w:r>
      <w:r>
        <w:rPr>
          <w:rFonts w:hint="eastAsia" w:ascii="仿宋_GB2312" w:hAnsi="仿宋_GB2312" w:cs="仿宋_GB2312"/>
          <w:color w:val="000000"/>
          <w:kern w:val="0"/>
          <w:szCs w:val="32"/>
          <w:shd w:val="clear" w:color="auto" w:fill="FFFFFF"/>
        </w:rPr>
        <w:t>号）文件要求，我局立即结合工作实际，细化工作任务，认真贯彻落实</w:t>
      </w:r>
      <w:bookmarkStart w:id="2" w:name="OLE_LINK6"/>
      <w:r>
        <w:rPr>
          <w:rFonts w:hint="eastAsia" w:ascii="仿宋_GB2312" w:hAnsi="仿宋_GB2312" w:cs="仿宋_GB2312"/>
          <w:color w:val="000000"/>
          <w:kern w:val="0"/>
          <w:szCs w:val="32"/>
          <w:shd w:val="clear" w:color="auto" w:fill="FFFFFF"/>
        </w:rPr>
        <w:t>，强化监督执纪，将政务公开工作开展情况纳入年度考核，确保政务公开工作落到实处。</w:t>
      </w:r>
      <w:bookmarkEnd w:id="2"/>
    </w:p>
    <w:p>
      <w:pPr>
        <w:snapToGrid w:val="0"/>
        <w:ind w:firstLine="632" w:firstLineChars="200"/>
        <w:rPr>
          <w:rFonts w:hint="eastAsia" w:ascii="仿宋_GB2312" w:hAnsi="仿宋_GB2312" w:cs="仿宋_GB2312"/>
          <w:color w:val="000000"/>
          <w:kern w:val="0"/>
          <w:szCs w:val="32"/>
          <w:shd w:val="clear" w:color="auto" w:fill="FFFFFF"/>
        </w:rPr>
      </w:pPr>
      <w:r>
        <w:rPr>
          <w:rFonts w:hint="eastAsia" w:ascii="仿宋_GB2312" w:hAnsi="仿宋_GB2312" w:cs="仿宋_GB2312"/>
          <w:color w:val="000000"/>
          <w:kern w:val="0"/>
          <w:szCs w:val="32"/>
          <w:shd w:val="clear" w:color="auto" w:fill="FFFFFF"/>
        </w:rPr>
        <w:t>3.持续推进行政执法信息公开。按照“谁执法谁公开”原则，严格落实《福建省全面推行行政执法公示制度执法全过程记录制度重大执法决定法制审核制度实施方案》精神，在行政处罚、行政强制、行政检查、行政征收征用、行政许可等行为中全面推行“三项制度”，着力规范行政执法行为。建立每周双公示制度，在政府网站和信用中国网站公开。今年采用常态化检查和双随机一公开相结合对全县</w:t>
      </w:r>
      <w:r>
        <w:rPr>
          <w:rFonts w:ascii="仿宋_GB2312" w:hAnsi="仿宋_GB2312" w:cs="仿宋_GB2312"/>
          <w:color w:val="000000"/>
          <w:kern w:val="0"/>
          <w:szCs w:val="32"/>
          <w:shd w:val="clear" w:color="auto" w:fill="FFFFFF"/>
        </w:rPr>
        <w:t>42</w:t>
      </w:r>
      <w:r>
        <w:rPr>
          <w:rFonts w:hint="eastAsia" w:ascii="仿宋_GB2312" w:hAnsi="仿宋_GB2312" w:cs="仿宋_GB2312"/>
          <w:color w:val="000000"/>
          <w:kern w:val="0"/>
          <w:szCs w:val="32"/>
          <w:shd w:val="clear" w:color="auto" w:fill="FFFFFF"/>
        </w:rPr>
        <w:t>家防雷重点单位进行安全检查，并对结果进行公开。</w:t>
      </w:r>
    </w:p>
    <w:p>
      <w:pPr>
        <w:widowControl/>
        <w:shd w:val="clear" w:color="auto" w:fill="FFFFFF"/>
        <w:ind w:firstLine="632" w:firstLineChars="200"/>
        <w:rPr>
          <w:rFonts w:hint="eastAsia" w:ascii="黑体" w:hAnsi="宋体" w:eastAsia="黑体" w:cs="宋体"/>
          <w:bCs/>
          <w:color w:val="000000"/>
          <w:kern w:val="0"/>
          <w:szCs w:val="32"/>
        </w:rPr>
      </w:pPr>
      <w:r>
        <w:rPr>
          <w:rFonts w:hint="eastAsia" w:ascii="黑体" w:hAnsi="宋体" w:eastAsia="黑体" w:cs="宋体"/>
          <w:bCs/>
          <w:color w:val="000000"/>
          <w:kern w:val="0"/>
          <w:szCs w:val="32"/>
        </w:rPr>
        <w:t>二、主动公开政府信息情况</w:t>
      </w:r>
    </w:p>
    <w:tbl>
      <w:tblPr>
        <w:tblStyle w:val="4"/>
        <w:tblW w:w="0" w:type="auto"/>
        <w:jc w:val="center"/>
        <w:tblLayout w:type="fixed"/>
        <w:tblCellMar>
          <w:top w:w="0" w:type="dxa"/>
          <w:left w:w="0" w:type="dxa"/>
          <w:bottom w:w="0" w:type="dxa"/>
          <w:right w:w="0" w:type="dxa"/>
        </w:tblCellMar>
      </w:tblPr>
      <w:tblGrid>
        <w:gridCol w:w="3259"/>
        <w:gridCol w:w="1970"/>
        <w:gridCol w:w="1331"/>
        <w:gridCol w:w="2371"/>
      </w:tblGrid>
      <w:tr>
        <w:tblPrEx>
          <w:tblCellMar>
            <w:top w:w="0" w:type="dxa"/>
            <w:left w:w="0" w:type="dxa"/>
            <w:bottom w:w="0" w:type="dxa"/>
            <w:right w:w="0" w:type="dxa"/>
          </w:tblCellMar>
        </w:tblPrEx>
        <w:trPr>
          <w:trHeight w:val="495" w:hRule="atLeast"/>
          <w:jc w:val="center"/>
        </w:trPr>
        <w:tc>
          <w:tcPr>
            <w:tcW w:w="8931" w:type="dxa"/>
            <w:gridSpan w:val="4"/>
            <w:tcBorders>
              <w:top w:val="single" w:color="auto" w:sz="8" w:space="0"/>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第二十条第（一）项</w:t>
            </w:r>
          </w:p>
        </w:tc>
      </w:tr>
      <w:tr>
        <w:tblPrEx>
          <w:tblCellMar>
            <w:top w:w="0" w:type="dxa"/>
            <w:left w:w="0" w:type="dxa"/>
            <w:bottom w:w="0" w:type="dxa"/>
            <w:right w:w="0" w:type="dxa"/>
          </w:tblCellMar>
        </w:tblPrEx>
        <w:trPr>
          <w:trHeight w:val="882"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信息内容</w:t>
            </w:r>
          </w:p>
        </w:tc>
        <w:tc>
          <w:tcPr>
            <w:tcW w:w="19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本年新</w:t>
            </w:r>
            <w:r>
              <w:rPr>
                <w:rFonts w:hint="eastAsia" w:ascii="宋体" w:hAnsi="宋体" w:cs="宋体"/>
                <w:color w:val="000000"/>
                <w:kern w:val="0"/>
                <w:sz w:val="20"/>
              </w:rPr>
              <w:br w:type="textWrapping"/>
            </w:r>
            <w:r>
              <w:rPr>
                <w:rFonts w:hint="eastAsia" w:ascii="宋体" w:hAnsi="宋体" w:cs="宋体"/>
                <w:color w:val="000000"/>
                <w:kern w:val="0"/>
                <w:sz w:val="20"/>
              </w:rPr>
              <w:t>制作数量</w:t>
            </w:r>
          </w:p>
        </w:tc>
        <w:tc>
          <w:tcPr>
            <w:tcW w:w="133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本年新</w:t>
            </w:r>
            <w:r>
              <w:rPr>
                <w:rFonts w:hint="eastAsia" w:ascii="宋体" w:hAnsi="宋体" w:cs="宋体"/>
                <w:color w:val="000000"/>
                <w:kern w:val="0"/>
                <w:sz w:val="20"/>
              </w:rPr>
              <w:br w:type="textWrapping"/>
            </w:r>
            <w:r>
              <w:rPr>
                <w:rFonts w:hint="eastAsia" w:ascii="宋体" w:hAnsi="宋体" w:cs="宋体"/>
                <w:color w:val="000000"/>
                <w:kern w:val="0"/>
                <w:sz w:val="20"/>
              </w:rPr>
              <w:t>公开数量</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对外公开总数量</w:t>
            </w:r>
          </w:p>
        </w:tc>
      </w:tr>
      <w:tr>
        <w:tblPrEx>
          <w:tblCellMar>
            <w:top w:w="0" w:type="dxa"/>
            <w:left w:w="0" w:type="dxa"/>
            <w:bottom w:w="0" w:type="dxa"/>
            <w:right w:w="0" w:type="dxa"/>
          </w:tblCellMar>
        </w:tblPrEx>
        <w:trPr>
          <w:trHeight w:val="523"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left"/>
              <w:rPr>
                <w:rFonts w:ascii="宋体" w:hAnsi="宋体" w:cs="宋体"/>
                <w:color w:val="000000"/>
                <w:kern w:val="0"/>
                <w:sz w:val="20"/>
              </w:rPr>
            </w:pPr>
            <w:r>
              <w:rPr>
                <w:rFonts w:hint="eastAsia" w:ascii="宋体" w:hAnsi="宋体" w:cs="宋体"/>
                <w:color w:val="000000"/>
                <w:kern w:val="0"/>
                <w:sz w:val="20"/>
              </w:rPr>
              <w:t>规章</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c>
          <w:tcPr>
            <w:tcW w:w="133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71"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left"/>
              <w:rPr>
                <w:rFonts w:ascii="宋体" w:hAnsi="宋体" w:cs="宋体"/>
                <w:color w:val="000000"/>
                <w:kern w:val="0"/>
                <w:sz w:val="20"/>
              </w:rPr>
            </w:pPr>
            <w:r>
              <w:rPr>
                <w:rFonts w:hint="eastAsia" w:ascii="宋体" w:hAnsi="宋体" w:cs="宋体"/>
                <w:color w:val="000000"/>
                <w:kern w:val="0"/>
                <w:sz w:val="20"/>
              </w:rPr>
              <w:t>规范性文件</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c>
          <w:tcPr>
            <w:tcW w:w="133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80" w:hRule="atLeast"/>
          <w:jc w:val="center"/>
        </w:trPr>
        <w:tc>
          <w:tcPr>
            <w:tcW w:w="8931" w:type="dxa"/>
            <w:gridSpan w:val="4"/>
            <w:tcBorders>
              <w:top w:val="nil"/>
              <w:left w:val="single" w:color="auto" w:sz="8" w:space="0"/>
              <w:bottom w:val="single" w:color="auto" w:sz="4" w:space="0"/>
              <w:right w:val="single" w:color="auto" w:sz="8" w:space="0"/>
            </w:tcBorders>
            <w:shd w:val="clear" w:color="auto" w:fill="C6D9F1"/>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第二十条第（五）项</w:t>
            </w:r>
          </w:p>
        </w:tc>
      </w:tr>
      <w:tr>
        <w:tblPrEx>
          <w:tblCellMar>
            <w:top w:w="0" w:type="dxa"/>
            <w:left w:w="0" w:type="dxa"/>
            <w:bottom w:w="0" w:type="dxa"/>
            <w:right w:w="0" w:type="dxa"/>
          </w:tblCellMar>
        </w:tblPrEx>
        <w:trPr>
          <w:trHeight w:val="634" w:hRule="atLeast"/>
          <w:jc w:val="center"/>
        </w:trPr>
        <w:tc>
          <w:tcPr>
            <w:tcW w:w="325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信息内容</w:t>
            </w:r>
          </w:p>
        </w:tc>
        <w:tc>
          <w:tcPr>
            <w:tcW w:w="1970"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上一年项目数量</w:t>
            </w:r>
          </w:p>
        </w:tc>
        <w:tc>
          <w:tcPr>
            <w:tcW w:w="1331"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本年增/减</w:t>
            </w:r>
          </w:p>
        </w:tc>
        <w:tc>
          <w:tcPr>
            <w:tcW w:w="2371"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处理决定数量</w:t>
            </w:r>
          </w:p>
        </w:tc>
      </w:tr>
      <w:tr>
        <w:tblPrEx>
          <w:tblCellMar>
            <w:top w:w="0" w:type="dxa"/>
            <w:left w:w="0" w:type="dxa"/>
            <w:bottom w:w="0" w:type="dxa"/>
            <w:right w:w="0" w:type="dxa"/>
          </w:tblCellMar>
        </w:tblPrEx>
        <w:trPr>
          <w:trHeight w:val="528" w:hRule="atLeast"/>
          <w:jc w:val="center"/>
        </w:trPr>
        <w:tc>
          <w:tcPr>
            <w:tcW w:w="3259"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left"/>
              <w:rPr>
                <w:rFonts w:ascii="宋体" w:hAnsi="宋体" w:cs="宋体"/>
                <w:color w:val="000000"/>
                <w:kern w:val="0"/>
                <w:sz w:val="20"/>
              </w:rPr>
            </w:pPr>
            <w:r>
              <w:rPr>
                <w:rFonts w:hint="eastAsia" w:ascii="宋体" w:hAnsi="宋体" w:cs="宋体"/>
                <w:color w:val="000000"/>
                <w:kern w:val="0"/>
                <w:sz w:val="20"/>
              </w:rPr>
              <w:t>行政许可</w:t>
            </w:r>
          </w:p>
        </w:tc>
        <w:tc>
          <w:tcPr>
            <w:tcW w:w="1970"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3（</w:t>
            </w:r>
            <w:r>
              <w:rPr>
                <w:rFonts w:ascii="宋体" w:hAnsi="宋体" w:cs="宋体"/>
                <w:color w:val="000000"/>
                <w:kern w:val="0"/>
                <w:sz w:val="20"/>
              </w:rPr>
              <w:t>22</w:t>
            </w:r>
            <w:r>
              <w:rPr>
                <w:rFonts w:hint="eastAsia" w:ascii="宋体" w:hAnsi="宋体" w:cs="宋体"/>
                <w:color w:val="000000"/>
                <w:kern w:val="0"/>
                <w:sz w:val="20"/>
              </w:rPr>
              <w:t>年）</w:t>
            </w:r>
          </w:p>
        </w:tc>
        <w:tc>
          <w:tcPr>
            <w:tcW w:w="1331"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减</w:t>
            </w:r>
            <w:r>
              <w:rPr>
                <w:rFonts w:ascii="宋体" w:hAnsi="宋体" w:cs="宋体"/>
                <w:color w:val="000000"/>
                <w:kern w:val="0"/>
                <w:sz w:val="20"/>
              </w:rPr>
              <w:t>2</w:t>
            </w:r>
          </w:p>
        </w:tc>
        <w:tc>
          <w:tcPr>
            <w:tcW w:w="2371"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ascii="宋体" w:hAnsi="宋体" w:cs="宋体"/>
                <w:color w:val="000000"/>
                <w:kern w:val="0"/>
                <w:sz w:val="20"/>
              </w:rPr>
              <w:t>1</w:t>
            </w:r>
          </w:p>
        </w:tc>
      </w:tr>
      <w:tr>
        <w:tblPrEx>
          <w:tblCellMar>
            <w:top w:w="0" w:type="dxa"/>
            <w:left w:w="0" w:type="dxa"/>
            <w:bottom w:w="0" w:type="dxa"/>
            <w:right w:w="0" w:type="dxa"/>
          </w:tblCellMar>
        </w:tblPrEx>
        <w:trPr>
          <w:trHeight w:val="550"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left"/>
              <w:rPr>
                <w:rFonts w:ascii="宋体" w:hAnsi="宋体" w:cs="宋体"/>
                <w:color w:val="000000"/>
                <w:kern w:val="0"/>
                <w:sz w:val="20"/>
              </w:rPr>
            </w:pPr>
            <w:r>
              <w:rPr>
                <w:rFonts w:hint="eastAsia" w:ascii="宋体" w:hAnsi="宋体" w:cs="宋体"/>
                <w:color w:val="000000"/>
                <w:kern w:val="0"/>
                <w:sz w:val="20"/>
              </w:rPr>
              <w:t>其他对外管理服务事项</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c>
          <w:tcPr>
            <w:tcW w:w="133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06" w:hRule="atLeast"/>
          <w:jc w:val="center"/>
        </w:trPr>
        <w:tc>
          <w:tcPr>
            <w:tcW w:w="8931" w:type="dxa"/>
            <w:gridSpan w:val="4"/>
            <w:tcBorders>
              <w:top w:val="nil"/>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第二十条第（六）项</w:t>
            </w:r>
          </w:p>
        </w:tc>
      </w:tr>
      <w:tr>
        <w:tblPrEx>
          <w:tblCellMar>
            <w:top w:w="0" w:type="dxa"/>
            <w:left w:w="0" w:type="dxa"/>
            <w:bottom w:w="0" w:type="dxa"/>
            <w:right w:w="0" w:type="dxa"/>
          </w:tblCellMar>
        </w:tblPrEx>
        <w:trPr>
          <w:trHeight w:val="634"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信息内容</w:t>
            </w:r>
          </w:p>
        </w:tc>
        <w:tc>
          <w:tcPr>
            <w:tcW w:w="19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上一年项目数量</w:t>
            </w:r>
          </w:p>
        </w:tc>
        <w:tc>
          <w:tcPr>
            <w:tcW w:w="133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本年增/减</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处理决定数量</w:t>
            </w:r>
          </w:p>
        </w:tc>
      </w:tr>
      <w:tr>
        <w:tblPrEx>
          <w:tblCellMar>
            <w:top w:w="0" w:type="dxa"/>
            <w:left w:w="0" w:type="dxa"/>
            <w:bottom w:w="0" w:type="dxa"/>
            <w:right w:w="0" w:type="dxa"/>
          </w:tblCellMar>
        </w:tblPrEx>
        <w:trPr>
          <w:trHeight w:val="430"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left"/>
              <w:rPr>
                <w:rFonts w:ascii="宋体" w:hAnsi="宋体" w:cs="宋体"/>
                <w:color w:val="000000"/>
                <w:kern w:val="0"/>
                <w:sz w:val="20"/>
              </w:rPr>
            </w:pPr>
            <w:r>
              <w:rPr>
                <w:rFonts w:hint="eastAsia" w:ascii="宋体" w:hAnsi="宋体" w:cs="宋体"/>
                <w:color w:val="000000"/>
                <w:kern w:val="0"/>
                <w:sz w:val="20"/>
              </w:rPr>
              <w:t>行政处罚</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c>
          <w:tcPr>
            <w:tcW w:w="133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09" w:hRule="atLeast"/>
          <w:jc w:val="center"/>
        </w:trPr>
        <w:tc>
          <w:tcPr>
            <w:tcW w:w="3259"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left"/>
              <w:rPr>
                <w:rFonts w:ascii="宋体" w:hAnsi="宋体" w:cs="宋体"/>
                <w:color w:val="000000"/>
                <w:kern w:val="0"/>
                <w:sz w:val="20"/>
              </w:rPr>
            </w:pPr>
            <w:r>
              <w:rPr>
                <w:rFonts w:hint="eastAsia" w:ascii="宋体" w:hAnsi="宋体" w:cs="宋体"/>
                <w:color w:val="000000"/>
                <w:kern w:val="0"/>
                <w:sz w:val="20"/>
              </w:rPr>
              <w:t>行政强制</w:t>
            </w:r>
          </w:p>
        </w:tc>
        <w:tc>
          <w:tcPr>
            <w:tcW w:w="19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c>
          <w:tcPr>
            <w:tcW w:w="133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c>
          <w:tcPr>
            <w:tcW w:w="237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74" w:hRule="atLeast"/>
          <w:jc w:val="center"/>
        </w:trPr>
        <w:tc>
          <w:tcPr>
            <w:tcW w:w="8931" w:type="dxa"/>
            <w:gridSpan w:val="4"/>
            <w:tcBorders>
              <w:top w:val="single" w:color="auto" w:sz="4" w:space="0"/>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第二十条第（八）项</w:t>
            </w:r>
          </w:p>
        </w:tc>
      </w:tr>
      <w:tr>
        <w:tblPrEx>
          <w:tblCellMar>
            <w:top w:w="0" w:type="dxa"/>
            <w:left w:w="0" w:type="dxa"/>
            <w:bottom w:w="0" w:type="dxa"/>
            <w:right w:w="0" w:type="dxa"/>
          </w:tblCellMar>
        </w:tblPrEx>
        <w:trPr>
          <w:trHeight w:val="270" w:hRule="atLeast"/>
          <w:jc w:val="center"/>
        </w:trPr>
        <w:tc>
          <w:tcPr>
            <w:tcW w:w="3259"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信息内容</w:t>
            </w:r>
          </w:p>
        </w:tc>
        <w:tc>
          <w:tcPr>
            <w:tcW w:w="19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left"/>
              <w:rPr>
                <w:rFonts w:ascii="宋体" w:hAnsi="宋体" w:cs="宋体"/>
                <w:color w:val="000000"/>
                <w:kern w:val="0"/>
                <w:sz w:val="20"/>
              </w:rPr>
            </w:pPr>
            <w:r>
              <w:rPr>
                <w:rFonts w:hint="eastAsia" w:ascii="宋体" w:hAnsi="宋体" w:cs="宋体"/>
                <w:color w:val="000000"/>
                <w:kern w:val="0"/>
                <w:sz w:val="20"/>
              </w:rPr>
              <w:t>上一年项目数量</w:t>
            </w:r>
          </w:p>
        </w:tc>
        <w:tc>
          <w:tcPr>
            <w:tcW w:w="3702" w:type="dxa"/>
            <w:gridSpan w:val="2"/>
            <w:tcBorders>
              <w:top w:val="single" w:color="auto" w:sz="8" w:space="0"/>
              <w:left w:val="nil"/>
              <w:bottom w:val="single" w:color="auto" w:sz="8" w:space="0"/>
              <w:right w:val="single" w:color="000000"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本年增/减</w:t>
            </w:r>
          </w:p>
        </w:tc>
      </w:tr>
      <w:tr>
        <w:tblPrEx>
          <w:tblCellMar>
            <w:top w:w="0" w:type="dxa"/>
            <w:left w:w="0" w:type="dxa"/>
            <w:bottom w:w="0" w:type="dxa"/>
            <w:right w:w="0" w:type="dxa"/>
          </w:tblCellMar>
        </w:tblPrEx>
        <w:trPr>
          <w:trHeight w:val="551"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left"/>
              <w:rPr>
                <w:rFonts w:ascii="宋体" w:hAnsi="宋体" w:cs="宋体"/>
                <w:color w:val="000000"/>
                <w:kern w:val="0"/>
                <w:sz w:val="20"/>
              </w:rPr>
            </w:pPr>
            <w:r>
              <w:rPr>
                <w:rFonts w:hint="eastAsia" w:ascii="宋体" w:hAnsi="宋体" w:cs="宋体"/>
                <w:color w:val="000000"/>
                <w:kern w:val="0"/>
                <w:sz w:val="20"/>
              </w:rPr>
              <w:t>行政事业性收费</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c>
          <w:tcPr>
            <w:tcW w:w="3702" w:type="dxa"/>
            <w:gridSpan w:val="2"/>
            <w:tcBorders>
              <w:top w:val="nil"/>
              <w:left w:val="nil"/>
              <w:bottom w:val="single" w:color="auto" w:sz="8" w:space="0"/>
              <w:right w:val="single" w:color="000000"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76" w:hRule="atLeast"/>
          <w:jc w:val="center"/>
        </w:trPr>
        <w:tc>
          <w:tcPr>
            <w:tcW w:w="8931" w:type="dxa"/>
            <w:gridSpan w:val="4"/>
            <w:tcBorders>
              <w:top w:val="nil"/>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第二十条第（九）项</w:t>
            </w:r>
          </w:p>
        </w:tc>
      </w:tr>
      <w:tr>
        <w:tblPrEx>
          <w:tblCellMar>
            <w:top w:w="0" w:type="dxa"/>
            <w:left w:w="0" w:type="dxa"/>
            <w:bottom w:w="0" w:type="dxa"/>
            <w:right w:w="0" w:type="dxa"/>
          </w:tblCellMar>
        </w:tblPrEx>
        <w:trPr>
          <w:trHeight w:val="585"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信息内容</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采购项目数量</w:t>
            </w:r>
          </w:p>
        </w:tc>
        <w:tc>
          <w:tcPr>
            <w:tcW w:w="3702" w:type="dxa"/>
            <w:gridSpan w:val="2"/>
            <w:tcBorders>
              <w:top w:val="single" w:color="auto" w:sz="8" w:space="0"/>
              <w:left w:val="nil"/>
              <w:bottom w:val="single" w:color="auto" w:sz="8" w:space="0"/>
              <w:right w:val="single" w:color="000000"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0"/>
              </w:rPr>
            </w:pPr>
            <w:r>
              <w:rPr>
                <w:rFonts w:hint="eastAsia" w:ascii="宋体" w:hAnsi="宋体" w:cs="宋体"/>
                <w:color w:val="000000"/>
                <w:kern w:val="0"/>
                <w:sz w:val="20"/>
              </w:rPr>
              <w:t>采购总金额</w:t>
            </w:r>
          </w:p>
        </w:tc>
      </w:tr>
      <w:tr>
        <w:tblPrEx>
          <w:tblCellMar>
            <w:top w:w="0" w:type="dxa"/>
            <w:left w:w="0" w:type="dxa"/>
            <w:bottom w:w="0" w:type="dxa"/>
            <w:right w:w="0" w:type="dxa"/>
          </w:tblCellMar>
        </w:tblPrEx>
        <w:trPr>
          <w:trHeight w:val="539"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left"/>
              <w:rPr>
                <w:rFonts w:ascii="宋体" w:hAnsi="宋体" w:cs="宋体"/>
                <w:color w:val="000000"/>
                <w:kern w:val="0"/>
                <w:sz w:val="20"/>
              </w:rPr>
            </w:pPr>
            <w:r>
              <w:rPr>
                <w:rFonts w:hint="eastAsia" w:ascii="宋体" w:hAnsi="宋体" w:cs="宋体"/>
                <w:color w:val="000000"/>
                <w:kern w:val="0"/>
                <w:sz w:val="20"/>
              </w:rPr>
              <w:t>政府集中采购</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hint="eastAsia" w:ascii="宋体" w:hAnsi="宋体" w:cs="宋体"/>
                <w:color w:val="000000"/>
                <w:kern w:val="0"/>
                <w:sz w:val="20"/>
              </w:rPr>
            </w:pPr>
            <w:r>
              <w:rPr>
                <w:rFonts w:hint="eastAsia" w:ascii="宋体" w:hAnsi="宋体" w:cs="宋体"/>
                <w:color w:val="000000"/>
                <w:kern w:val="0"/>
                <w:sz w:val="20"/>
              </w:rPr>
              <w:t>0</w:t>
            </w:r>
          </w:p>
        </w:tc>
        <w:tc>
          <w:tcPr>
            <w:tcW w:w="3702" w:type="dxa"/>
            <w:gridSpan w:val="2"/>
            <w:tcBorders>
              <w:top w:val="nil"/>
              <w:left w:val="nil"/>
              <w:bottom w:val="single" w:color="auto" w:sz="8" w:space="0"/>
              <w:right w:val="single" w:color="000000" w:sz="8" w:space="0"/>
            </w:tcBorders>
            <w:noWrap w:val="0"/>
            <w:tcMar>
              <w:top w:w="0" w:type="dxa"/>
              <w:left w:w="108" w:type="dxa"/>
              <w:bottom w:w="0" w:type="dxa"/>
              <w:right w:w="108" w:type="dxa"/>
            </w:tcMar>
            <w:vAlign w:val="center"/>
          </w:tcPr>
          <w:p>
            <w:pPr>
              <w:widowControl/>
              <w:spacing w:line="320" w:lineRule="exact"/>
              <w:jc w:val="center"/>
              <w:rPr>
                <w:rFonts w:hint="eastAsia" w:ascii="宋体" w:hAnsi="宋体" w:cs="宋体"/>
                <w:color w:val="000000"/>
                <w:kern w:val="0"/>
                <w:sz w:val="20"/>
              </w:rPr>
            </w:pPr>
            <w:r>
              <w:rPr>
                <w:rFonts w:hint="eastAsia" w:ascii="宋体" w:hAnsi="宋体" w:cs="宋体"/>
                <w:color w:val="000000"/>
                <w:kern w:val="0"/>
                <w:sz w:val="20"/>
              </w:rPr>
              <w:t>0</w:t>
            </w:r>
          </w:p>
        </w:tc>
      </w:tr>
    </w:tbl>
    <w:p>
      <w:pPr>
        <w:widowControl/>
        <w:shd w:val="clear" w:color="auto" w:fill="FFFFFF"/>
        <w:ind w:firstLine="632" w:firstLineChars="200"/>
        <w:rPr>
          <w:rFonts w:hint="eastAsia" w:ascii="黑体" w:hAnsi="宋体" w:eastAsia="黑体" w:cs="宋体"/>
          <w:color w:val="000000"/>
          <w:kern w:val="0"/>
          <w:szCs w:val="32"/>
        </w:rPr>
      </w:pPr>
      <w:r>
        <w:rPr>
          <w:rFonts w:hint="eastAsia" w:ascii="黑体" w:hAnsi="宋体" w:eastAsia="黑体" w:cs="宋体"/>
          <w:bCs/>
          <w:color w:val="000000"/>
          <w:kern w:val="0"/>
          <w:szCs w:val="32"/>
        </w:rPr>
        <w:t>三、收到和处理政府信息公开申请情况</w:t>
      </w:r>
    </w:p>
    <w:tbl>
      <w:tblPr>
        <w:tblStyle w:val="4"/>
        <w:tblW w:w="0" w:type="auto"/>
        <w:jc w:val="center"/>
        <w:tblLayout w:type="fixed"/>
        <w:tblCellMar>
          <w:top w:w="0" w:type="dxa"/>
          <w:left w:w="0" w:type="dxa"/>
          <w:bottom w:w="0" w:type="dxa"/>
          <w:right w:w="0" w:type="dxa"/>
        </w:tblCellMar>
      </w:tblPr>
      <w:tblGrid>
        <w:gridCol w:w="507"/>
        <w:gridCol w:w="917"/>
        <w:gridCol w:w="2937"/>
        <w:gridCol w:w="648"/>
        <w:gridCol w:w="651"/>
        <w:gridCol w:w="651"/>
        <w:gridCol w:w="648"/>
        <w:gridCol w:w="648"/>
        <w:gridCol w:w="648"/>
        <w:gridCol w:w="648"/>
      </w:tblGrid>
      <w:tr>
        <w:tblPrEx>
          <w:tblCellMar>
            <w:top w:w="0" w:type="dxa"/>
            <w:left w:w="0" w:type="dxa"/>
            <w:bottom w:w="0" w:type="dxa"/>
            <w:right w:w="0" w:type="dxa"/>
          </w:tblCellMar>
        </w:tblPrEx>
        <w:trPr>
          <w:jc w:val="center"/>
        </w:trPr>
        <w:tc>
          <w:tcPr>
            <w:tcW w:w="4361" w:type="dxa"/>
            <w:gridSpan w:val="3"/>
            <w:vMerge w:val="restart"/>
            <w:tcBorders>
              <w:top w:val="single" w:color="auto" w:sz="8" w:space="0"/>
              <w:left w:val="single" w:color="auto" w:sz="8" w:space="0"/>
              <w:bottom w:val="inset" w:color="auto" w:sz="8" w:space="0"/>
              <w:right w:val="single" w:color="auto" w:sz="8" w:space="0"/>
            </w:tcBorders>
            <w:noWrap w:val="0"/>
            <w:tcMar>
              <w:top w:w="0" w:type="dxa"/>
              <w:left w:w="108" w:type="dxa"/>
              <w:bottom w:w="0" w:type="dxa"/>
              <w:right w:w="108"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楷体" w:cs="宋体"/>
                <w:color w:val="000000"/>
                <w:kern w:val="0"/>
                <w:sz w:val="20"/>
              </w:rPr>
              <w:t>（本列数据的勾稽关系为：第一项加第二项之和，等于第三项加第四项之和）</w:t>
            </w:r>
          </w:p>
        </w:tc>
        <w:tc>
          <w:tcPr>
            <w:tcW w:w="4539" w:type="dxa"/>
            <w:gridSpan w:val="7"/>
            <w:tcBorders>
              <w:top w:val="single" w:color="auto" w:sz="8"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hAnsi="宋体" w:cs="宋体"/>
                <w:color w:val="000000"/>
                <w:kern w:val="0"/>
                <w:sz w:val="20"/>
              </w:rPr>
              <w:t>申请人情况</w:t>
            </w:r>
          </w:p>
        </w:tc>
      </w:tr>
      <w:tr>
        <w:tblPrEx>
          <w:tblCellMar>
            <w:top w:w="0" w:type="dxa"/>
            <w:left w:w="0" w:type="dxa"/>
            <w:bottom w:w="0" w:type="dxa"/>
            <w:right w:w="0" w:type="dxa"/>
          </w:tblCellMar>
        </w:tblPrEx>
        <w:trPr>
          <w:jc w:val="center"/>
        </w:trPr>
        <w:tc>
          <w:tcPr>
            <w:tcW w:w="4361" w:type="dxa"/>
            <w:gridSpan w:val="3"/>
            <w:vMerge w:val="continue"/>
            <w:tcBorders>
              <w:top w:val="single" w:color="auto" w:sz="8"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648" w:type="dxa"/>
            <w:vMerge w:val="restart"/>
            <w:tcBorders>
              <w:top w:val="single" w:color="auto" w:sz="0"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hAnsi="宋体" w:cs="宋体"/>
                <w:color w:val="000000"/>
                <w:kern w:val="0"/>
                <w:sz w:val="20"/>
              </w:rPr>
              <w:t>自然人</w:t>
            </w:r>
          </w:p>
        </w:tc>
        <w:tc>
          <w:tcPr>
            <w:tcW w:w="3243" w:type="dxa"/>
            <w:gridSpan w:val="5"/>
            <w:tcBorders>
              <w:top w:val="single" w:color="auto" w:sz="8"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hAnsi="宋体" w:cs="宋体"/>
                <w:color w:val="000000"/>
                <w:kern w:val="0"/>
                <w:sz w:val="20"/>
              </w:rPr>
              <w:t>法人或其他组织</w:t>
            </w:r>
          </w:p>
        </w:tc>
        <w:tc>
          <w:tcPr>
            <w:tcW w:w="648" w:type="dxa"/>
            <w:vMerge w:val="restart"/>
            <w:tcBorders>
              <w:top w:val="single" w:color="auto" w:sz="8"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hAnsi="宋体" w:cs="宋体"/>
                <w:color w:val="000000"/>
                <w:kern w:val="0"/>
                <w:sz w:val="20"/>
              </w:rPr>
              <w:t>总计</w:t>
            </w:r>
          </w:p>
        </w:tc>
      </w:tr>
      <w:tr>
        <w:tblPrEx>
          <w:tblCellMar>
            <w:top w:w="0" w:type="dxa"/>
            <w:left w:w="0" w:type="dxa"/>
            <w:bottom w:w="0" w:type="dxa"/>
            <w:right w:w="0" w:type="dxa"/>
          </w:tblCellMar>
        </w:tblPrEx>
        <w:trPr>
          <w:jc w:val="center"/>
        </w:trPr>
        <w:tc>
          <w:tcPr>
            <w:tcW w:w="4361" w:type="dxa"/>
            <w:gridSpan w:val="3"/>
            <w:vMerge w:val="continue"/>
            <w:tcBorders>
              <w:top w:val="single" w:color="auto" w:sz="8"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648" w:type="dxa"/>
            <w:vMerge w:val="continue"/>
            <w:tcBorders>
              <w:top w:val="single" w:color="auto" w:sz="0" w:space="0"/>
              <w:left w:val="single" w:color="auto" w:sz="0" w:space="0"/>
              <w:bottom w:val="single" w:color="auto" w:sz="4"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648" w:type="dxa"/>
            <w:tcBorders>
              <w:top w:val="single" w:color="auto" w:sz="0" w:space="0"/>
              <w:left w:val="single" w:color="auto" w:sz="0" w:space="0"/>
              <w:bottom w:val="single" w:color="auto" w:sz="4"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hAnsi="宋体" w:cs="宋体"/>
                <w:color w:val="000000"/>
                <w:kern w:val="0"/>
                <w:sz w:val="20"/>
              </w:rPr>
              <w:t>商业</w:t>
            </w:r>
          </w:p>
          <w:p>
            <w:pPr>
              <w:widowControl/>
              <w:spacing w:line="320" w:lineRule="exact"/>
              <w:jc w:val="center"/>
              <w:rPr>
                <w:rFonts w:hint="eastAsia" w:ascii="仿宋_GB2312" w:hAnsi="宋体" w:cs="宋体"/>
                <w:color w:val="000000"/>
                <w:kern w:val="0"/>
                <w:sz w:val="20"/>
              </w:rPr>
            </w:pPr>
            <w:r>
              <w:rPr>
                <w:rFonts w:hint="eastAsia" w:ascii="仿宋_GB2312" w:hAnsi="宋体" w:cs="宋体"/>
                <w:color w:val="000000"/>
                <w:kern w:val="0"/>
                <w:sz w:val="20"/>
              </w:rPr>
              <w:t>企业</w:t>
            </w:r>
          </w:p>
        </w:tc>
        <w:tc>
          <w:tcPr>
            <w:tcW w:w="651" w:type="dxa"/>
            <w:tcBorders>
              <w:top w:val="single" w:color="auto" w:sz="0" w:space="0"/>
              <w:left w:val="single" w:color="auto" w:sz="0" w:space="0"/>
              <w:bottom w:val="single" w:color="auto" w:sz="4"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hAnsi="宋体" w:cs="宋体"/>
                <w:color w:val="000000"/>
                <w:kern w:val="0"/>
                <w:sz w:val="20"/>
              </w:rPr>
              <w:t>科研</w:t>
            </w:r>
          </w:p>
          <w:p>
            <w:pPr>
              <w:widowControl/>
              <w:spacing w:line="320" w:lineRule="exact"/>
              <w:jc w:val="center"/>
              <w:rPr>
                <w:rFonts w:hint="eastAsia" w:ascii="仿宋_GB2312" w:hAnsi="宋体" w:cs="宋体"/>
                <w:color w:val="000000"/>
                <w:kern w:val="0"/>
                <w:sz w:val="20"/>
              </w:rPr>
            </w:pPr>
            <w:r>
              <w:rPr>
                <w:rFonts w:hint="eastAsia" w:ascii="仿宋_GB2312" w:hAnsi="宋体" w:cs="宋体"/>
                <w:color w:val="000000"/>
                <w:kern w:val="0"/>
                <w:sz w:val="20"/>
              </w:rPr>
              <w:t>机构</w:t>
            </w:r>
          </w:p>
        </w:tc>
        <w:tc>
          <w:tcPr>
            <w:tcW w:w="648" w:type="dxa"/>
            <w:tcBorders>
              <w:top w:val="single" w:color="auto" w:sz="8" w:space="0"/>
              <w:left w:val="single" w:color="auto" w:sz="0" w:space="0"/>
              <w:bottom w:val="single" w:color="auto" w:sz="4"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hAnsi="宋体" w:cs="宋体"/>
                <w:color w:val="000000"/>
                <w:kern w:val="0"/>
                <w:sz w:val="20"/>
              </w:rPr>
              <w:t>社会公益组织</w:t>
            </w:r>
          </w:p>
        </w:tc>
        <w:tc>
          <w:tcPr>
            <w:tcW w:w="648" w:type="dxa"/>
            <w:tcBorders>
              <w:top w:val="single" w:color="auto" w:sz="8" w:space="0"/>
              <w:left w:val="single" w:color="auto" w:sz="0" w:space="0"/>
              <w:bottom w:val="single" w:color="auto" w:sz="4"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hAnsi="宋体" w:cs="宋体"/>
                <w:color w:val="000000"/>
                <w:kern w:val="0"/>
                <w:sz w:val="20"/>
              </w:rPr>
              <w:t>法律服务机构</w:t>
            </w:r>
          </w:p>
        </w:tc>
        <w:tc>
          <w:tcPr>
            <w:tcW w:w="648" w:type="dxa"/>
            <w:tcBorders>
              <w:top w:val="single" w:color="auto" w:sz="8" w:space="0"/>
              <w:left w:val="single" w:color="auto" w:sz="0" w:space="0"/>
              <w:bottom w:val="single" w:color="auto" w:sz="4"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hAnsi="宋体" w:cs="宋体"/>
                <w:color w:val="000000"/>
                <w:kern w:val="0"/>
                <w:sz w:val="20"/>
              </w:rPr>
              <w:t>其他</w:t>
            </w:r>
          </w:p>
        </w:tc>
        <w:tc>
          <w:tcPr>
            <w:tcW w:w="648" w:type="dxa"/>
            <w:vMerge w:val="continue"/>
            <w:tcBorders>
              <w:top w:val="single" w:color="auto" w:sz="8" w:space="0"/>
              <w:left w:val="single" w:color="auto" w:sz="0" w:space="0"/>
              <w:bottom w:val="single" w:color="auto" w:sz="4"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r>
      <w:tr>
        <w:tblPrEx>
          <w:tblCellMar>
            <w:top w:w="0" w:type="dxa"/>
            <w:left w:w="0" w:type="dxa"/>
            <w:bottom w:w="0" w:type="dxa"/>
            <w:right w:w="0" w:type="dxa"/>
          </w:tblCellMar>
        </w:tblPrEx>
        <w:trPr>
          <w:jc w:val="center"/>
        </w:trPr>
        <w:tc>
          <w:tcPr>
            <w:tcW w:w="4361" w:type="dxa"/>
            <w:gridSpan w:val="3"/>
            <w:tcBorders>
              <w:top w:val="nil"/>
              <w:left w:val="single" w:color="auto" w:sz="8" w:space="0"/>
              <w:bottom w:val="single" w:color="auto" w:sz="8" w:space="0"/>
              <w:right w:val="single" w:color="auto" w:sz="4"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一、本年新收政府信息公开申请数量</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4361" w:type="dxa"/>
            <w:gridSpan w:val="3"/>
            <w:tcBorders>
              <w:top w:val="nil"/>
              <w:left w:val="single" w:color="auto" w:sz="8" w:space="0"/>
              <w:bottom w:val="single" w:color="auto" w:sz="8" w:space="0"/>
              <w:right w:val="single" w:color="auto" w:sz="4"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二、上年结转政府信息公开申请数量</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restart"/>
            <w:tcBorders>
              <w:top w:val="single" w:color="auto" w:sz="0" w:space="0"/>
              <w:left w:val="single" w:color="auto" w:sz="8" w:space="0"/>
              <w:bottom w:val="inset" w:color="auto" w:sz="8" w:space="0"/>
              <w:right w:val="single" w:color="auto" w:sz="8"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三、本年度办理结果</w:t>
            </w:r>
          </w:p>
        </w:tc>
        <w:tc>
          <w:tcPr>
            <w:tcW w:w="3854" w:type="dxa"/>
            <w:gridSpan w:val="2"/>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（一）予以公开</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3854" w:type="dxa"/>
            <w:gridSpan w:val="2"/>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（二）部分公开</w:t>
            </w:r>
            <w:r>
              <w:rPr>
                <w:rFonts w:hint="eastAsia" w:ascii="仿宋_GB2312" w:hAnsi="楷体" w:cs="宋体"/>
                <w:color w:val="000000"/>
                <w:kern w:val="0"/>
                <w:sz w:val="20"/>
              </w:rPr>
              <w:t>（区分处理的，只计这一情形，不计其他情形）</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restart"/>
            <w:tcBorders>
              <w:top w:val="single" w:color="auto" w:sz="0"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（三）不予公开</w:t>
            </w: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1.属于国家秘密</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2.其他法律行政法规禁止公开</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3.危及“三安全一稳定”</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4.保护第三方合法权益</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5.属于三类内部事务信息</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6.属于四类过程性信息</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7.属于行政执法案卷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8.属于行政查询事项</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restart"/>
            <w:tcBorders>
              <w:top w:val="single" w:color="auto" w:sz="0"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（四）无法提供</w:t>
            </w: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1.本机关不掌握相关政府信息</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2.没有现成信息需要另行制作</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3.补正后申请内容仍不明确</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restart"/>
            <w:tcBorders>
              <w:top w:val="single" w:color="auto" w:sz="0"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（五）不予处理</w:t>
            </w: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1.信访举报投诉类申请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2.重复申请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3.要求提供公开出版物</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4.无正当理由大量反复申请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trHeight w:val="779" w:hRule="atLeast"/>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inset" w:color="auto" w:sz="8" w:space="0"/>
              <w:right w:val="single" w:color="auto" w:sz="4" w:space="0"/>
            </w:tcBorders>
            <w:noWrap w:val="0"/>
            <w:tcMar>
              <w:top w:w="0" w:type="dxa"/>
              <w:left w:w="57" w:type="dxa"/>
              <w:bottom w:w="0" w:type="dxa"/>
              <w:right w:w="57" w:type="dxa"/>
            </w:tcMar>
            <w:vAlign w:val="center"/>
          </w:tcPr>
          <w:p>
            <w:pPr>
              <w:widowControl/>
              <w:spacing w:line="320" w:lineRule="exact"/>
              <w:rPr>
                <w:rFonts w:hint="eastAsia" w:ascii="仿宋_GB2312" w:hAnsi="宋体" w:cs="宋体"/>
                <w:color w:val="000000"/>
                <w:kern w:val="0"/>
                <w:sz w:val="20"/>
              </w:rPr>
            </w:pPr>
            <w:r>
              <w:rPr>
                <w:rFonts w:hint="eastAsia" w:ascii="仿宋_GB2312" w:hAnsi="宋体" w:cs="宋体"/>
                <w:color w:val="000000"/>
                <w:kern w:val="0"/>
                <w:sz w:val="20"/>
              </w:rPr>
              <w:t>5.要求行政机关确认或重新出具已获取信息</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restart"/>
            <w:tcBorders>
              <w:top w:val="inset" w:color="auto" w:sz="8"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（六）其他处理</w:t>
            </w: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center"/>
          </w:tcPr>
          <w:p>
            <w:pPr>
              <w:widowControl/>
              <w:spacing w:line="320" w:lineRule="exact"/>
              <w:rPr>
                <w:rFonts w:hint="eastAsia" w:ascii="仿宋_GB2312" w:hAnsi="宋体" w:cs="宋体"/>
                <w:color w:val="000000"/>
                <w:kern w:val="0"/>
                <w:sz w:val="20"/>
              </w:rPr>
            </w:pPr>
            <w:r>
              <w:rPr>
                <w:rFonts w:hint="eastAsia" w:ascii="仿宋_GB2312" w:hAnsi="宋体" w:cs="宋体"/>
                <w:color w:val="000000"/>
                <w:kern w:val="0"/>
                <w:sz w:val="20"/>
              </w:rPr>
              <w:t>1.申请人无正当理由逾期不补正、行政机关不再处理其政府信息公开申请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inset" w:color="auto" w:sz="8"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center"/>
          </w:tcPr>
          <w:p>
            <w:pPr>
              <w:widowControl/>
              <w:spacing w:line="320" w:lineRule="exact"/>
              <w:rPr>
                <w:rFonts w:hint="eastAsia" w:ascii="仿宋_GB2312" w:hAnsi="宋体" w:cs="宋体"/>
                <w:color w:val="000000"/>
                <w:kern w:val="0"/>
                <w:sz w:val="20"/>
              </w:rPr>
            </w:pPr>
            <w:r>
              <w:rPr>
                <w:rFonts w:hint="eastAsia" w:ascii="仿宋_GB2312" w:hAnsi="宋体" w:cs="宋体"/>
                <w:color w:val="000000"/>
                <w:kern w:val="0"/>
                <w:sz w:val="20"/>
              </w:rPr>
              <w:t>2.申请人逾期未按收费通知要求缴纳费用、行政机关不再处理其政府信息公开申请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917" w:type="dxa"/>
            <w:vMerge w:val="continue"/>
            <w:tcBorders>
              <w:top w:val="inset" w:color="auto" w:sz="8" w:space="0"/>
              <w:left w:val="single" w:color="auto" w:sz="0"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3.其他</w:t>
            </w:r>
          </w:p>
        </w:tc>
        <w:tc>
          <w:tcPr>
            <w:tcW w:w="648"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spacing w:line="320" w:lineRule="exact"/>
              <w:jc w:val="left"/>
              <w:rPr>
                <w:rFonts w:hint="eastAsia" w:ascii="仿宋_GB2312" w:hAnsi="宋体" w:cs="宋体"/>
                <w:color w:val="000000"/>
                <w:kern w:val="0"/>
                <w:sz w:val="20"/>
              </w:rPr>
            </w:pPr>
          </w:p>
        </w:tc>
        <w:tc>
          <w:tcPr>
            <w:tcW w:w="3854" w:type="dxa"/>
            <w:gridSpan w:val="2"/>
            <w:tcBorders>
              <w:top w:val="single" w:color="auto" w:sz="0"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（七）总计</w:t>
            </w:r>
          </w:p>
        </w:tc>
        <w:tc>
          <w:tcPr>
            <w:tcW w:w="648" w:type="dxa"/>
            <w:tcBorders>
              <w:top w:val="thinThickLargeGap" w:color="auto" w:sz="0"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0"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0"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0" w:space="0"/>
              <w:left w:val="single" w:color="auto" w:sz="0" w:space="0"/>
              <w:bottom w:val="inset" w:color="auto" w:sz="8"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4361" w:type="dxa"/>
            <w:gridSpan w:val="3"/>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left"/>
              <w:rPr>
                <w:rFonts w:hint="eastAsia" w:ascii="仿宋_GB2312" w:hAnsi="宋体" w:cs="宋体"/>
                <w:color w:val="000000"/>
                <w:kern w:val="0"/>
                <w:sz w:val="20"/>
              </w:rPr>
            </w:pPr>
            <w:r>
              <w:rPr>
                <w:rFonts w:hint="eastAsia" w:ascii="仿宋_GB2312" w:hAnsi="宋体" w:cs="宋体"/>
                <w:color w:val="000000"/>
                <w:kern w:val="0"/>
                <w:sz w:val="20"/>
              </w:rPr>
              <w:t>四、结转下年度继续办理</w:t>
            </w:r>
          </w:p>
        </w:tc>
        <w:tc>
          <w:tcPr>
            <w:tcW w:w="64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spacing w:line="320" w:lineRule="exact"/>
              <w:jc w:val="center"/>
              <w:rPr>
                <w:rFonts w:hint="eastAsia" w:ascii="仿宋_GB2312" w:hAnsi="宋体" w:cs="宋体"/>
                <w:color w:val="000000"/>
                <w:kern w:val="0"/>
                <w:sz w:val="20"/>
              </w:rPr>
            </w:pPr>
            <w:r>
              <w:rPr>
                <w:rFonts w:hint="eastAsia" w:ascii="仿宋_GB2312" w:cs="宋体"/>
                <w:color w:val="000000"/>
                <w:kern w:val="0"/>
                <w:sz w:val="20"/>
              </w:rPr>
              <w:t>0</w:t>
            </w:r>
          </w:p>
        </w:tc>
      </w:tr>
    </w:tbl>
    <w:p>
      <w:pPr>
        <w:widowControl/>
        <w:shd w:val="clear" w:color="auto" w:fill="FFFFFF"/>
        <w:ind w:firstLine="632" w:firstLineChars="200"/>
        <w:rPr>
          <w:rFonts w:hint="eastAsia" w:ascii="黑体" w:hAnsi="宋体" w:eastAsia="黑体" w:cs="宋体"/>
          <w:color w:val="000000"/>
          <w:kern w:val="0"/>
          <w:szCs w:val="32"/>
        </w:rPr>
      </w:pPr>
      <w:r>
        <w:rPr>
          <w:rFonts w:hint="eastAsia" w:ascii="黑体" w:hAnsi="宋体" w:eastAsia="黑体" w:cs="宋体"/>
          <w:bCs/>
          <w:color w:val="000000"/>
          <w:kern w:val="0"/>
          <w:szCs w:val="32"/>
        </w:rPr>
        <w:t>四、政府信息公开行政复议、行政诉讼情况</w:t>
      </w:r>
    </w:p>
    <w:tbl>
      <w:tblPr>
        <w:tblStyle w:val="4"/>
        <w:tblW w:w="0" w:type="auto"/>
        <w:jc w:val="center"/>
        <w:tblLayout w:type="fixed"/>
        <w:tblCellMar>
          <w:top w:w="0" w:type="dxa"/>
          <w:left w:w="0" w:type="dxa"/>
          <w:bottom w:w="0" w:type="dxa"/>
          <w:right w:w="0" w:type="dxa"/>
        </w:tblCellMar>
      </w:tblPr>
      <w:tblGrid>
        <w:gridCol w:w="426"/>
        <w:gridCol w:w="567"/>
        <w:gridCol w:w="550"/>
        <w:gridCol w:w="442"/>
        <w:gridCol w:w="567"/>
        <w:gridCol w:w="910"/>
        <w:gridCol w:w="649"/>
        <w:gridCol w:w="709"/>
        <w:gridCol w:w="709"/>
        <w:gridCol w:w="492"/>
        <w:gridCol w:w="642"/>
        <w:gridCol w:w="638"/>
        <w:gridCol w:w="640"/>
        <w:gridCol w:w="640"/>
        <w:gridCol w:w="412"/>
      </w:tblGrid>
      <w:tr>
        <w:tblPrEx>
          <w:tblCellMar>
            <w:top w:w="0" w:type="dxa"/>
            <w:left w:w="0" w:type="dxa"/>
            <w:bottom w:w="0" w:type="dxa"/>
            <w:right w:w="0" w:type="dxa"/>
          </w:tblCellMar>
        </w:tblPrEx>
        <w:trPr>
          <w:jc w:val="center"/>
        </w:trPr>
        <w:tc>
          <w:tcPr>
            <w:tcW w:w="2552"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行政复议</w:t>
            </w:r>
          </w:p>
        </w:tc>
        <w:tc>
          <w:tcPr>
            <w:tcW w:w="6441" w:type="dxa"/>
            <w:gridSpan w:val="10"/>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行政诉讼</w:t>
            </w:r>
          </w:p>
        </w:tc>
      </w:tr>
      <w:tr>
        <w:tblPrEx>
          <w:tblCellMar>
            <w:top w:w="0" w:type="dxa"/>
            <w:left w:w="0" w:type="dxa"/>
            <w:bottom w:w="0" w:type="dxa"/>
            <w:right w:w="0" w:type="dxa"/>
          </w:tblCellMar>
        </w:tblPrEx>
        <w:trPr>
          <w:jc w:val="center"/>
        </w:trPr>
        <w:tc>
          <w:tcPr>
            <w:tcW w:w="426" w:type="dxa"/>
            <w:vMerge w:val="restart"/>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结果维持</w:t>
            </w:r>
          </w:p>
        </w:tc>
        <w:tc>
          <w:tcPr>
            <w:tcW w:w="567" w:type="dxa"/>
            <w:vMerge w:val="restart"/>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结果</w:t>
            </w:r>
            <w:r>
              <w:rPr>
                <w:rFonts w:hint="eastAsia" w:ascii="宋体" w:hAnsi="宋体" w:cs="宋体"/>
                <w:color w:val="000000"/>
                <w:kern w:val="0"/>
                <w:sz w:val="20"/>
              </w:rPr>
              <w:br w:type="textWrapping"/>
            </w:r>
            <w:r>
              <w:rPr>
                <w:rFonts w:hint="eastAsia" w:ascii="宋体" w:hAnsi="宋体" w:cs="宋体"/>
                <w:color w:val="000000"/>
                <w:kern w:val="0"/>
                <w:sz w:val="20"/>
              </w:rPr>
              <w:t>纠正</w:t>
            </w:r>
          </w:p>
        </w:tc>
        <w:tc>
          <w:tcPr>
            <w:tcW w:w="550"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其他</w:t>
            </w:r>
            <w:r>
              <w:rPr>
                <w:rFonts w:hint="eastAsia" w:ascii="宋体" w:hAnsi="宋体" w:cs="宋体"/>
                <w:color w:val="000000"/>
                <w:kern w:val="0"/>
                <w:sz w:val="20"/>
              </w:rPr>
              <w:br w:type="textWrapping"/>
            </w:r>
            <w:r>
              <w:rPr>
                <w:rFonts w:hint="eastAsia" w:ascii="宋体" w:hAnsi="宋体" w:cs="宋体"/>
                <w:color w:val="000000"/>
                <w:kern w:val="0"/>
                <w:sz w:val="20"/>
              </w:rPr>
              <w:t>结果</w:t>
            </w:r>
          </w:p>
        </w:tc>
        <w:tc>
          <w:tcPr>
            <w:tcW w:w="442"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尚未</w:t>
            </w:r>
            <w:r>
              <w:rPr>
                <w:rFonts w:hint="eastAsia" w:ascii="宋体" w:hAnsi="宋体" w:cs="宋体"/>
                <w:color w:val="000000"/>
                <w:kern w:val="0"/>
                <w:sz w:val="20"/>
              </w:rPr>
              <w:br w:type="textWrapping"/>
            </w:r>
            <w:r>
              <w:rPr>
                <w:rFonts w:hint="eastAsia" w:ascii="宋体" w:hAnsi="宋体" w:cs="宋体"/>
                <w:color w:val="000000"/>
                <w:kern w:val="0"/>
                <w:sz w:val="20"/>
              </w:rPr>
              <w:t>审结</w:t>
            </w:r>
          </w:p>
        </w:tc>
        <w:tc>
          <w:tcPr>
            <w:tcW w:w="567"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总计</w:t>
            </w:r>
          </w:p>
        </w:tc>
        <w:tc>
          <w:tcPr>
            <w:tcW w:w="3469"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未经复议直接起诉</w:t>
            </w:r>
          </w:p>
        </w:tc>
        <w:tc>
          <w:tcPr>
            <w:tcW w:w="2972"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复议后起诉</w:t>
            </w:r>
          </w:p>
        </w:tc>
      </w:tr>
      <w:tr>
        <w:tblPrEx>
          <w:tblCellMar>
            <w:top w:w="0" w:type="dxa"/>
            <w:left w:w="0" w:type="dxa"/>
            <w:bottom w:w="0" w:type="dxa"/>
            <w:right w:w="0" w:type="dxa"/>
          </w:tblCellMar>
        </w:tblPrEx>
        <w:trPr>
          <w:jc w:val="center"/>
        </w:trPr>
        <w:tc>
          <w:tcPr>
            <w:tcW w:w="426" w:type="dxa"/>
            <w:vMerge w:val="continue"/>
            <w:tcBorders>
              <w:top w:val="nil"/>
              <w:left w:val="single" w:color="auto" w:sz="8" w:space="0"/>
              <w:bottom w:val="single" w:color="auto" w:sz="8" w:space="0"/>
              <w:right w:val="single" w:color="auto" w:sz="8" w:space="0"/>
            </w:tcBorders>
            <w:noWrap w:val="0"/>
            <w:vAlign w:val="center"/>
          </w:tcPr>
          <w:p>
            <w:pPr>
              <w:widowControl/>
              <w:spacing w:line="320" w:lineRule="exact"/>
              <w:jc w:val="left"/>
              <w:rPr>
                <w:rFonts w:ascii="宋体" w:hAnsi="宋体" w:cs="宋体"/>
                <w:color w:val="000000"/>
                <w:kern w:val="0"/>
                <w:sz w:val="24"/>
              </w:rPr>
            </w:pPr>
          </w:p>
        </w:tc>
        <w:tc>
          <w:tcPr>
            <w:tcW w:w="567" w:type="dxa"/>
            <w:vMerge w:val="continue"/>
            <w:tcBorders>
              <w:top w:val="nil"/>
              <w:left w:val="single" w:color="auto" w:sz="8" w:space="0"/>
              <w:bottom w:val="single" w:color="auto" w:sz="8" w:space="0"/>
              <w:right w:val="single" w:color="auto" w:sz="8" w:space="0"/>
            </w:tcBorders>
            <w:noWrap w:val="0"/>
            <w:vAlign w:val="center"/>
          </w:tcPr>
          <w:p>
            <w:pPr>
              <w:widowControl/>
              <w:spacing w:line="320" w:lineRule="exact"/>
              <w:jc w:val="left"/>
              <w:rPr>
                <w:rFonts w:ascii="宋体" w:hAnsi="宋体" w:cs="宋体"/>
                <w:color w:val="000000"/>
                <w:kern w:val="0"/>
                <w:sz w:val="24"/>
              </w:rPr>
            </w:pPr>
          </w:p>
        </w:tc>
        <w:tc>
          <w:tcPr>
            <w:tcW w:w="55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ascii="宋体" w:hAnsi="宋体" w:cs="宋体"/>
                <w:color w:val="000000"/>
                <w:kern w:val="0"/>
                <w:sz w:val="24"/>
              </w:rPr>
            </w:pPr>
          </w:p>
        </w:tc>
        <w:tc>
          <w:tcPr>
            <w:tcW w:w="442"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ascii="宋体" w:hAnsi="宋体" w:cs="宋体"/>
                <w:color w:val="000000"/>
                <w:kern w:val="0"/>
                <w:sz w:val="24"/>
              </w:rPr>
            </w:pPr>
          </w:p>
        </w:tc>
        <w:tc>
          <w:tcPr>
            <w:tcW w:w="567"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jc w:val="left"/>
              <w:rPr>
                <w:rFonts w:ascii="宋体" w:hAnsi="宋体" w:cs="宋体"/>
                <w:color w:val="000000"/>
                <w:kern w:val="0"/>
                <w:sz w:val="24"/>
              </w:rPr>
            </w:pPr>
          </w:p>
        </w:tc>
        <w:tc>
          <w:tcPr>
            <w:tcW w:w="91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结果</w:t>
            </w:r>
            <w:r>
              <w:rPr>
                <w:rFonts w:hint="eastAsia" w:ascii="宋体" w:hAnsi="宋体" w:cs="宋体"/>
                <w:color w:val="000000"/>
                <w:kern w:val="0"/>
                <w:sz w:val="20"/>
              </w:rPr>
              <w:br w:type="textWrapping"/>
            </w:r>
            <w:r>
              <w:rPr>
                <w:rFonts w:hint="eastAsia" w:ascii="宋体" w:hAnsi="宋体" w:cs="宋体"/>
                <w:color w:val="000000"/>
                <w:kern w:val="0"/>
                <w:sz w:val="20"/>
              </w:rPr>
              <w:t>维持</w:t>
            </w:r>
          </w:p>
        </w:tc>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结果</w:t>
            </w:r>
            <w:r>
              <w:rPr>
                <w:rFonts w:hint="eastAsia" w:ascii="宋体" w:hAnsi="宋体" w:cs="宋体"/>
                <w:color w:val="000000"/>
                <w:kern w:val="0"/>
                <w:sz w:val="20"/>
              </w:rPr>
              <w:br w:type="textWrapping"/>
            </w:r>
            <w:r>
              <w:rPr>
                <w:rFonts w:hint="eastAsia" w:ascii="宋体" w:hAnsi="宋体" w:cs="宋体"/>
                <w:color w:val="000000"/>
                <w:kern w:val="0"/>
                <w:sz w:val="20"/>
              </w:rPr>
              <w:t>纠正</w:t>
            </w:r>
          </w:p>
        </w:tc>
        <w:tc>
          <w:tcPr>
            <w:tcW w:w="709"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其他</w:t>
            </w:r>
            <w:r>
              <w:rPr>
                <w:rFonts w:hint="eastAsia" w:ascii="宋体" w:hAnsi="宋体" w:cs="宋体"/>
                <w:color w:val="000000"/>
                <w:kern w:val="0"/>
                <w:sz w:val="20"/>
              </w:rPr>
              <w:br w:type="textWrapping"/>
            </w:r>
            <w:r>
              <w:rPr>
                <w:rFonts w:hint="eastAsia" w:ascii="宋体" w:hAnsi="宋体" w:cs="宋体"/>
                <w:color w:val="000000"/>
                <w:kern w:val="0"/>
                <w:sz w:val="20"/>
              </w:rPr>
              <w:t>结果</w:t>
            </w:r>
          </w:p>
        </w:tc>
        <w:tc>
          <w:tcPr>
            <w:tcW w:w="709"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尚未</w:t>
            </w:r>
            <w:r>
              <w:rPr>
                <w:rFonts w:hint="eastAsia" w:ascii="宋体" w:hAnsi="宋体" w:cs="宋体"/>
                <w:color w:val="000000"/>
                <w:kern w:val="0"/>
                <w:sz w:val="20"/>
              </w:rPr>
              <w:br w:type="textWrapping"/>
            </w:r>
            <w:r>
              <w:rPr>
                <w:rFonts w:hint="eastAsia" w:ascii="宋体" w:hAnsi="宋体" w:cs="宋体"/>
                <w:color w:val="000000"/>
                <w:kern w:val="0"/>
                <w:sz w:val="20"/>
              </w:rPr>
              <w:t>审结</w:t>
            </w:r>
          </w:p>
        </w:tc>
        <w:tc>
          <w:tcPr>
            <w:tcW w:w="49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总计</w:t>
            </w:r>
          </w:p>
        </w:tc>
        <w:tc>
          <w:tcPr>
            <w:tcW w:w="64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结果</w:t>
            </w:r>
            <w:r>
              <w:rPr>
                <w:rFonts w:hint="eastAsia" w:ascii="宋体" w:hAnsi="宋体" w:cs="宋体"/>
                <w:color w:val="000000"/>
                <w:kern w:val="0"/>
                <w:sz w:val="20"/>
              </w:rPr>
              <w:br w:type="textWrapping"/>
            </w:r>
            <w:r>
              <w:rPr>
                <w:rFonts w:hint="eastAsia" w:ascii="宋体" w:hAnsi="宋体" w:cs="宋体"/>
                <w:color w:val="000000"/>
                <w:kern w:val="0"/>
                <w:sz w:val="20"/>
              </w:rPr>
              <w:t>维持</w:t>
            </w:r>
          </w:p>
        </w:tc>
        <w:tc>
          <w:tcPr>
            <w:tcW w:w="63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结果</w:t>
            </w:r>
            <w:r>
              <w:rPr>
                <w:rFonts w:hint="eastAsia" w:ascii="宋体" w:hAnsi="宋体" w:cs="宋体"/>
                <w:color w:val="000000"/>
                <w:kern w:val="0"/>
                <w:sz w:val="20"/>
              </w:rPr>
              <w:br w:type="textWrapping"/>
            </w:r>
            <w:r>
              <w:rPr>
                <w:rFonts w:hint="eastAsia" w:ascii="宋体" w:hAnsi="宋体" w:cs="宋体"/>
                <w:color w:val="000000"/>
                <w:kern w:val="0"/>
                <w:sz w:val="20"/>
              </w:rPr>
              <w:t>纠正</w:t>
            </w:r>
          </w:p>
        </w:tc>
        <w:tc>
          <w:tcPr>
            <w:tcW w:w="64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其他</w:t>
            </w:r>
            <w:r>
              <w:rPr>
                <w:rFonts w:hint="eastAsia" w:ascii="宋体" w:hAnsi="宋体" w:cs="宋体"/>
                <w:color w:val="000000"/>
                <w:kern w:val="0"/>
                <w:sz w:val="20"/>
              </w:rPr>
              <w:br w:type="textWrapping"/>
            </w:r>
            <w:r>
              <w:rPr>
                <w:rFonts w:hint="eastAsia" w:ascii="宋体" w:hAnsi="宋体" w:cs="宋体"/>
                <w:color w:val="000000"/>
                <w:kern w:val="0"/>
                <w:sz w:val="20"/>
              </w:rPr>
              <w:t>结果</w:t>
            </w:r>
          </w:p>
        </w:tc>
        <w:tc>
          <w:tcPr>
            <w:tcW w:w="64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尚未</w:t>
            </w:r>
            <w:r>
              <w:rPr>
                <w:rFonts w:hint="eastAsia" w:ascii="宋体" w:hAnsi="宋体" w:cs="宋体"/>
                <w:color w:val="000000"/>
                <w:kern w:val="0"/>
                <w:sz w:val="20"/>
              </w:rPr>
              <w:br w:type="textWrapping"/>
            </w:r>
            <w:r>
              <w:rPr>
                <w:rFonts w:hint="eastAsia" w:ascii="宋体" w:hAnsi="宋体" w:cs="宋体"/>
                <w:color w:val="000000"/>
                <w:kern w:val="0"/>
                <w:sz w:val="20"/>
              </w:rPr>
              <w:t>审结</w:t>
            </w:r>
          </w:p>
        </w:tc>
        <w:tc>
          <w:tcPr>
            <w:tcW w:w="41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总计</w:t>
            </w:r>
          </w:p>
        </w:tc>
      </w:tr>
      <w:tr>
        <w:tblPrEx>
          <w:tblCellMar>
            <w:top w:w="0" w:type="dxa"/>
            <w:left w:w="0" w:type="dxa"/>
            <w:bottom w:w="0" w:type="dxa"/>
            <w:right w:w="0" w:type="dxa"/>
          </w:tblCellMar>
        </w:tblPrEx>
        <w:trPr>
          <w:trHeight w:val="1096" w:hRule="atLeast"/>
          <w:jc w:val="center"/>
        </w:trPr>
        <w:tc>
          <w:tcPr>
            <w:tcW w:w="426"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rPr>
            </w:pPr>
            <w:r>
              <w:rPr>
                <w:rFonts w:hint="eastAsia" w:ascii="宋体" w:hAnsi="宋体" w:cs="宋体"/>
                <w:color w:val="000000"/>
                <w:kern w:val="0"/>
                <w:sz w:val="20"/>
              </w:rPr>
              <w:t>0</w:t>
            </w:r>
          </w:p>
        </w:tc>
        <w:tc>
          <w:tcPr>
            <w:tcW w:w="567"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rPr>
            </w:pPr>
            <w:r>
              <w:rPr>
                <w:rFonts w:hint="eastAsia" w:ascii="宋体" w:hAnsi="宋体" w:cs="宋体"/>
                <w:color w:val="000000"/>
                <w:kern w:val="0"/>
                <w:sz w:val="20"/>
              </w:rPr>
              <w:t>0</w:t>
            </w:r>
          </w:p>
        </w:tc>
        <w:tc>
          <w:tcPr>
            <w:tcW w:w="550"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442"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567"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910"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649"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709"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709"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492"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642"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638"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640"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640"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c>
          <w:tcPr>
            <w:tcW w:w="412"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320" w:lineRule="exact"/>
              <w:jc w:val="center"/>
              <w:rPr>
                <w:rFonts w:ascii="宋体" w:hAnsi="宋体" w:cs="宋体"/>
                <w:color w:val="000000"/>
                <w:kern w:val="0"/>
                <w:sz w:val="24"/>
              </w:rPr>
            </w:pPr>
            <w:r>
              <w:rPr>
                <w:rFonts w:hint="eastAsia" w:ascii="宋体" w:hAnsi="宋体" w:cs="宋体"/>
                <w:color w:val="000000"/>
                <w:kern w:val="0"/>
                <w:sz w:val="20"/>
              </w:rPr>
              <w:t>0</w:t>
            </w:r>
          </w:p>
        </w:tc>
      </w:tr>
    </w:tbl>
    <w:p>
      <w:pPr>
        <w:ind w:firstLine="632" w:firstLineChars="200"/>
        <w:rPr>
          <w:rFonts w:hint="eastAsia" w:ascii="黑体" w:hAnsi="黑体" w:eastAsia="黑体" w:cs="黑体"/>
          <w:color w:val="000000"/>
          <w:szCs w:val="32"/>
        </w:rPr>
      </w:pPr>
      <w:r>
        <w:rPr>
          <w:rFonts w:hint="eastAsia" w:ascii="黑体" w:hAnsi="黑体" w:eastAsia="黑体" w:cs="黑体"/>
          <w:color w:val="000000"/>
          <w:szCs w:val="32"/>
        </w:rPr>
        <w:t>五、存在的主要问题及改进情况</w:t>
      </w:r>
    </w:p>
    <w:p>
      <w:pPr>
        <w:ind w:firstLine="632" w:firstLineChars="200"/>
        <w:rPr>
          <w:rFonts w:hint="eastAsia" w:ascii="黑体" w:hAnsi="黑体" w:eastAsia="黑体" w:cs="黑体"/>
          <w:color w:val="000000"/>
          <w:szCs w:val="32"/>
        </w:rPr>
      </w:pPr>
      <w:r>
        <w:rPr>
          <w:rFonts w:hint="eastAsia" w:ascii="楷体_GB2312" w:hAnsi="宋体" w:eastAsia="楷体_GB2312" w:cs="Arial"/>
          <w:color w:val="000000"/>
          <w:kern w:val="0"/>
          <w:szCs w:val="32"/>
        </w:rPr>
        <w:t>（一）存在的主要问题</w:t>
      </w:r>
    </w:p>
    <w:p>
      <w:pPr>
        <w:ind w:left="-6" w:leftChars="-2" w:firstLine="632" w:firstLineChars="200"/>
        <w:rPr>
          <w:rFonts w:hint="eastAsia" w:ascii="仿宋_GB2312" w:hAnsi="宋体" w:cs="Arial"/>
          <w:color w:val="000000"/>
          <w:kern w:val="0"/>
          <w:szCs w:val="32"/>
        </w:rPr>
      </w:pPr>
      <w:r>
        <w:rPr>
          <w:rFonts w:hint="eastAsia" w:ascii="仿宋_GB2312" w:hAnsi="宋体" w:cs="Arial"/>
          <w:color w:val="000000"/>
          <w:kern w:val="0"/>
          <w:szCs w:val="32"/>
        </w:rPr>
        <w:t>一是目前我局从事政府信息公开工作人员为兼职人员，工作力量不足，工作机制需进一步健全；二是现有主动公开的政府信息与公众的需求还存在不少距离，公开内容需进一步深化。</w:t>
      </w:r>
    </w:p>
    <w:p>
      <w:pPr>
        <w:ind w:left="-6" w:leftChars="-2" w:firstLine="632" w:firstLineChars="200"/>
        <w:rPr>
          <w:rFonts w:hint="eastAsia" w:ascii="仿宋_GB2312" w:hAnsi="宋体" w:cs="Arial"/>
          <w:color w:val="000000"/>
          <w:kern w:val="0"/>
          <w:szCs w:val="32"/>
        </w:rPr>
      </w:pPr>
      <w:r>
        <w:rPr>
          <w:rFonts w:hint="eastAsia" w:ascii="楷体_GB2312" w:hAnsi="宋体" w:eastAsia="楷体_GB2312" w:cs="Arial"/>
          <w:color w:val="000000"/>
          <w:kern w:val="0"/>
          <w:szCs w:val="32"/>
        </w:rPr>
        <w:t>（二）具体的解决办法和改进措施</w:t>
      </w:r>
    </w:p>
    <w:p>
      <w:pPr>
        <w:widowControl/>
        <w:ind w:firstLine="632" w:firstLineChars="200"/>
        <w:rPr>
          <w:rFonts w:hint="eastAsia" w:ascii="仿宋_GB2312"/>
          <w:color w:val="000000"/>
          <w:szCs w:val="32"/>
        </w:rPr>
      </w:pPr>
      <w:r>
        <w:rPr>
          <w:rFonts w:hint="eastAsia" w:ascii="仿宋_GB2312" w:hAnsi="宋体" w:cs="Arial"/>
          <w:color w:val="000000"/>
          <w:kern w:val="0"/>
          <w:szCs w:val="32"/>
        </w:rPr>
        <w:t>一是逐步扩大公开内容，为公民、法人或者其他组织提供更加便捷的信息服务；加强对经办人员的业务培训，增强责任意识与服务意识，提高信息报送水平，确保信息报送质量。二是</w:t>
      </w:r>
      <w:r>
        <w:rPr>
          <w:rFonts w:hint="eastAsia" w:ascii="仿宋_GB2312" w:hAnsi="微软雅黑" w:cs="仿宋_GB2312"/>
          <w:color w:val="000000"/>
          <w:kern w:val="0"/>
          <w:szCs w:val="32"/>
          <w:shd w:val="clear" w:color="auto" w:fill="FFFFFF"/>
        </w:rPr>
        <w:t>多</w:t>
      </w:r>
      <w:r>
        <w:rPr>
          <w:rFonts w:hint="eastAsia" w:ascii="仿宋_GB2312" w:hAnsi="宋体" w:cs="宋体"/>
          <w:color w:val="000000"/>
          <w:kern w:val="0"/>
          <w:szCs w:val="32"/>
        </w:rPr>
        <w:t>在公开群众关心的信息上下功夫，</w:t>
      </w:r>
      <w:r>
        <w:rPr>
          <w:rFonts w:hint="eastAsia" w:ascii="仿宋_GB2312" w:hAnsi="微软雅黑" w:cs="仿宋_GB2312"/>
          <w:color w:val="000000"/>
          <w:kern w:val="0"/>
          <w:szCs w:val="32"/>
          <w:shd w:val="clear" w:color="auto" w:fill="FFFFFF"/>
        </w:rPr>
        <w:t>多渠道向社会大众公布政府信息。</w:t>
      </w:r>
    </w:p>
    <w:p>
      <w:pPr>
        <w:ind w:firstLine="632" w:firstLineChars="200"/>
        <w:rPr>
          <w:rFonts w:hint="eastAsia" w:ascii="黑体" w:hAnsi="黑体" w:eastAsia="黑体" w:cs="黑体"/>
          <w:color w:val="000000"/>
          <w:szCs w:val="32"/>
        </w:rPr>
      </w:pPr>
      <w:r>
        <w:rPr>
          <w:rFonts w:hint="eastAsia" w:ascii="黑体" w:hAnsi="黑体" w:eastAsia="黑体" w:cs="黑体"/>
          <w:color w:val="000000"/>
          <w:szCs w:val="32"/>
        </w:rPr>
        <w:t>六、其他需要报告的事项</w:t>
      </w:r>
    </w:p>
    <w:p>
      <w:pPr>
        <w:tabs>
          <w:tab w:val="left" w:pos="3405"/>
        </w:tabs>
        <w:ind w:firstLine="632" w:firstLineChars="200"/>
        <w:rPr>
          <w:rFonts w:hint="eastAsia" w:ascii="仿宋_GB2312" w:hAnsi="黑体" w:cs="黑体"/>
          <w:color w:val="000000"/>
          <w:szCs w:val="32"/>
        </w:rPr>
      </w:pPr>
      <w:r>
        <w:rPr>
          <w:rFonts w:hint="eastAsia" w:ascii="仿宋_GB2312" w:hAnsi="仿宋" w:cs="仿宋"/>
          <w:color w:val="000000"/>
          <w:szCs w:val="32"/>
        </w:rPr>
        <w:t>暂无其他需要说明的事项。</w:t>
      </w:r>
    </w:p>
    <w:p>
      <w:bookmarkStart w:id="3" w:name="_GoBack"/>
      <w:bookmarkEnd w:id="3"/>
    </w:p>
    <w:sectPr>
      <w:headerReference r:id="rId5" w:type="default"/>
      <w:footerReference r:id="rId7" w:type="default"/>
      <w:headerReference r:id="rId6" w:type="even"/>
      <w:footerReference r:id="rId8" w:type="even"/>
      <w:pgSz w:w="11906" w:h="16838"/>
      <w:pgMar w:top="1440" w:right="1800" w:bottom="1440" w:left="1800" w:header="851" w:footer="992" w:gutter="0"/>
      <w:pgNumType w:chapSep="emDash"/>
      <w:cols w:space="720" w:num="1"/>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620" w:wrap="around" w:vAnchor="text" w:hAnchor="page" w:x="8681" w:y="178"/>
      <w:ind w:left="340"/>
      <w:rPr>
        <w:rStyle w:val="6"/>
        <w:rFonts w:hint="eastAsia"/>
        <w:sz w:val="28"/>
      </w:rPr>
    </w:pPr>
    <w:r>
      <w:rPr>
        <w:rStyle w:val="6"/>
        <w:rFonts w:hint="eastAsia"/>
        <w:sz w:val="28"/>
      </w:rPr>
      <w:t>—</w:t>
    </w:r>
    <w:r>
      <w:rPr>
        <w:rFonts w:ascii="宋体" w:hAnsi="宋体" w:eastAsia="宋体"/>
        <w:sz w:val="28"/>
      </w:rPr>
      <w:fldChar w:fldCharType="begin"/>
    </w:r>
    <w:r>
      <w:rPr>
        <w:rStyle w:val="6"/>
        <w:rFonts w:ascii="宋体" w:hAnsi="宋体" w:eastAsia="宋体"/>
        <w:sz w:val="28"/>
      </w:rPr>
      <w:instrText xml:space="preserve">PAGE  </w:instrText>
    </w:r>
    <w:r>
      <w:rPr>
        <w:rFonts w:ascii="宋体" w:hAnsi="宋体" w:eastAsia="宋体"/>
        <w:sz w:val="28"/>
      </w:rPr>
      <w:fldChar w:fldCharType="separate"/>
    </w:r>
    <w:r>
      <w:rPr>
        <w:rStyle w:val="6"/>
        <w:rFonts w:ascii="宋体" w:hAnsi="宋体" w:eastAsia="宋体"/>
        <w:sz w:val="28"/>
      </w:rPr>
      <w:t>1</w:t>
    </w:r>
    <w:r>
      <w:rPr>
        <w:rFonts w:ascii="宋体" w:hAnsi="宋体" w:eastAsia="宋体"/>
        <w:sz w:val="28"/>
      </w:rPr>
      <w:fldChar w:fldCharType="end"/>
    </w:r>
    <w:r>
      <w:rPr>
        <w:rStyle w:val="6"/>
        <w:rFonts w:hint="eastAsia"/>
        <w:sz w:val="28"/>
      </w:rPr>
      <w:t>—</w:t>
    </w:r>
  </w:p>
  <w:p>
    <w:pPr>
      <w:pStyle w:val="2"/>
      <w:ind w:right="360"/>
      <w:rPr>
        <w:rFonts w:hint="eastAsia"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620" w:wrap="around" w:vAnchor="text" w:hAnchor="page" w:x="1581" w:y="218"/>
      <w:spacing w:line="280" w:lineRule="exact"/>
      <w:ind w:left="340"/>
      <w:rPr>
        <w:rStyle w:val="6"/>
        <w:rFonts w:hint="eastAsia"/>
        <w:sz w:val="28"/>
      </w:rPr>
    </w:pPr>
    <w:r>
      <w:rPr>
        <w:rStyle w:val="6"/>
        <w:rFonts w:hint="eastAsia"/>
        <w:sz w:val="28"/>
      </w:rPr>
      <w:t>—</w:t>
    </w:r>
    <w:r>
      <w:rPr>
        <w:rFonts w:ascii="宋体" w:hAnsi="宋体" w:eastAsia="宋体"/>
        <w:sz w:val="28"/>
      </w:rPr>
      <w:fldChar w:fldCharType="begin"/>
    </w:r>
    <w:r>
      <w:rPr>
        <w:rStyle w:val="6"/>
        <w:rFonts w:ascii="宋体" w:hAnsi="宋体" w:eastAsia="宋体"/>
        <w:sz w:val="28"/>
      </w:rPr>
      <w:instrText xml:space="preserve">PAGE  </w:instrText>
    </w:r>
    <w:r>
      <w:rPr>
        <w:rFonts w:ascii="宋体" w:hAnsi="宋体" w:eastAsia="宋体"/>
        <w:sz w:val="28"/>
      </w:rPr>
      <w:fldChar w:fldCharType="separate"/>
    </w:r>
    <w:r>
      <w:rPr>
        <w:rStyle w:val="6"/>
        <w:rFonts w:ascii="宋体" w:hAnsi="宋体" w:eastAsia="宋体"/>
        <w:sz w:val="28"/>
      </w:rPr>
      <w:t>2</w:t>
    </w:r>
    <w:r>
      <w:rPr>
        <w:rFonts w:ascii="宋体" w:hAnsi="宋体" w:eastAsia="宋体"/>
        <w:sz w:val="28"/>
      </w:rPr>
      <w:fldChar w:fldCharType="end"/>
    </w:r>
    <w:r>
      <w:rPr>
        <w:rStyle w:val="6"/>
        <w:rFonts w:hint="eastAsia"/>
        <w:sz w:val="28"/>
      </w:rPr>
      <w:t>—</w:t>
    </w:r>
  </w:p>
  <w:p>
    <w:pPr>
      <w:pStyle w:val="2"/>
      <w:tabs>
        <w:tab w:val="right" w:pos="8460"/>
        <w:tab w:val="clear" w:pos="8306"/>
      </w:tabs>
      <w:ind w:right="212"/>
      <w:jc w:val="right"/>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7E29D2"/>
    <w:rsid w:val="00273D10"/>
    <w:rsid w:val="002A6F6F"/>
    <w:rsid w:val="00651538"/>
    <w:rsid w:val="00D55CB1"/>
    <w:rsid w:val="00E06ACE"/>
    <w:rsid w:val="013D68DD"/>
    <w:rsid w:val="015E26FF"/>
    <w:rsid w:val="01B920E6"/>
    <w:rsid w:val="01C016FD"/>
    <w:rsid w:val="01F46665"/>
    <w:rsid w:val="02234EB0"/>
    <w:rsid w:val="02AF32FE"/>
    <w:rsid w:val="02F45138"/>
    <w:rsid w:val="0329207F"/>
    <w:rsid w:val="03AF7F82"/>
    <w:rsid w:val="03B63E68"/>
    <w:rsid w:val="04F1297E"/>
    <w:rsid w:val="05210329"/>
    <w:rsid w:val="05364D16"/>
    <w:rsid w:val="059E5501"/>
    <w:rsid w:val="05C7701A"/>
    <w:rsid w:val="06423F67"/>
    <w:rsid w:val="06926749"/>
    <w:rsid w:val="06B323AC"/>
    <w:rsid w:val="06CD49FE"/>
    <w:rsid w:val="07354D0A"/>
    <w:rsid w:val="07AB0952"/>
    <w:rsid w:val="08421BE0"/>
    <w:rsid w:val="086536C5"/>
    <w:rsid w:val="087548E3"/>
    <w:rsid w:val="087F76E7"/>
    <w:rsid w:val="08916470"/>
    <w:rsid w:val="08967A10"/>
    <w:rsid w:val="08BF03BA"/>
    <w:rsid w:val="08C3182D"/>
    <w:rsid w:val="08CE7FE8"/>
    <w:rsid w:val="08CF24D3"/>
    <w:rsid w:val="09060B9C"/>
    <w:rsid w:val="096B3DFA"/>
    <w:rsid w:val="099B76C8"/>
    <w:rsid w:val="0B0F31B9"/>
    <w:rsid w:val="0B321477"/>
    <w:rsid w:val="0B7C2C56"/>
    <w:rsid w:val="0B9B148C"/>
    <w:rsid w:val="0BA50A41"/>
    <w:rsid w:val="0BB53825"/>
    <w:rsid w:val="0BB77930"/>
    <w:rsid w:val="0C5B4BC2"/>
    <w:rsid w:val="0CA04000"/>
    <w:rsid w:val="0CEC2DD7"/>
    <w:rsid w:val="0D5A5AF2"/>
    <w:rsid w:val="0DB84841"/>
    <w:rsid w:val="0DB87BA6"/>
    <w:rsid w:val="0DBD5298"/>
    <w:rsid w:val="0E3F4E29"/>
    <w:rsid w:val="0E42747B"/>
    <w:rsid w:val="0F3232CF"/>
    <w:rsid w:val="0F5D4C63"/>
    <w:rsid w:val="0F73679F"/>
    <w:rsid w:val="0F7837D3"/>
    <w:rsid w:val="0FAA2709"/>
    <w:rsid w:val="0FCC3140"/>
    <w:rsid w:val="10576785"/>
    <w:rsid w:val="105C42F7"/>
    <w:rsid w:val="107D0A64"/>
    <w:rsid w:val="10A71144"/>
    <w:rsid w:val="110E0973"/>
    <w:rsid w:val="11806C54"/>
    <w:rsid w:val="11BF0C76"/>
    <w:rsid w:val="11DF3151"/>
    <w:rsid w:val="11FF59E4"/>
    <w:rsid w:val="125D3581"/>
    <w:rsid w:val="12814DA7"/>
    <w:rsid w:val="13025BA5"/>
    <w:rsid w:val="13293B7E"/>
    <w:rsid w:val="13642E52"/>
    <w:rsid w:val="13F82BEC"/>
    <w:rsid w:val="148F7574"/>
    <w:rsid w:val="151D48C4"/>
    <w:rsid w:val="157336E4"/>
    <w:rsid w:val="159A02A7"/>
    <w:rsid w:val="15D33206"/>
    <w:rsid w:val="16392E20"/>
    <w:rsid w:val="16476C14"/>
    <w:rsid w:val="17710834"/>
    <w:rsid w:val="1846479E"/>
    <w:rsid w:val="1860339C"/>
    <w:rsid w:val="18EF0DBB"/>
    <w:rsid w:val="19D62B98"/>
    <w:rsid w:val="1A701453"/>
    <w:rsid w:val="1B7F6380"/>
    <w:rsid w:val="1BBC49B4"/>
    <w:rsid w:val="1BDF0188"/>
    <w:rsid w:val="1C43040C"/>
    <w:rsid w:val="1C4A519A"/>
    <w:rsid w:val="1CE4082C"/>
    <w:rsid w:val="1D0914BF"/>
    <w:rsid w:val="1D0C2DB2"/>
    <w:rsid w:val="1D5A1AF0"/>
    <w:rsid w:val="1D7F25E6"/>
    <w:rsid w:val="1DC131A8"/>
    <w:rsid w:val="1DF47D58"/>
    <w:rsid w:val="1E2E5760"/>
    <w:rsid w:val="1E352BAE"/>
    <w:rsid w:val="1E3D4F60"/>
    <w:rsid w:val="1EDF6262"/>
    <w:rsid w:val="1F0C47AA"/>
    <w:rsid w:val="1F34537E"/>
    <w:rsid w:val="1FBE2AD9"/>
    <w:rsid w:val="201760B3"/>
    <w:rsid w:val="2084717E"/>
    <w:rsid w:val="20AA6198"/>
    <w:rsid w:val="20B6308E"/>
    <w:rsid w:val="20E261BD"/>
    <w:rsid w:val="21201A93"/>
    <w:rsid w:val="21264BAC"/>
    <w:rsid w:val="21410F14"/>
    <w:rsid w:val="21E04A2F"/>
    <w:rsid w:val="220435A2"/>
    <w:rsid w:val="22496027"/>
    <w:rsid w:val="227A22A7"/>
    <w:rsid w:val="229647B4"/>
    <w:rsid w:val="234F739E"/>
    <w:rsid w:val="23824DA5"/>
    <w:rsid w:val="245E55AA"/>
    <w:rsid w:val="24634297"/>
    <w:rsid w:val="247E29D2"/>
    <w:rsid w:val="25221AF2"/>
    <w:rsid w:val="26D20200"/>
    <w:rsid w:val="2702562F"/>
    <w:rsid w:val="276F72C9"/>
    <w:rsid w:val="27F73F00"/>
    <w:rsid w:val="28B6337C"/>
    <w:rsid w:val="28F55E31"/>
    <w:rsid w:val="291E4A2A"/>
    <w:rsid w:val="296D7FC0"/>
    <w:rsid w:val="297C732A"/>
    <w:rsid w:val="2A08424F"/>
    <w:rsid w:val="2B163C9D"/>
    <w:rsid w:val="2B1A7AF1"/>
    <w:rsid w:val="2C1D1890"/>
    <w:rsid w:val="2C3070B9"/>
    <w:rsid w:val="2C3E4ABE"/>
    <w:rsid w:val="2CDD3C24"/>
    <w:rsid w:val="2D297B46"/>
    <w:rsid w:val="2D2E7652"/>
    <w:rsid w:val="2D3616F6"/>
    <w:rsid w:val="2D691E8F"/>
    <w:rsid w:val="2E072866"/>
    <w:rsid w:val="2E315B57"/>
    <w:rsid w:val="2FA547C2"/>
    <w:rsid w:val="2FFB5684"/>
    <w:rsid w:val="30826B89"/>
    <w:rsid w:val="30B05A2E"/>
    <w:rsid w:val="30B54872"/>
    <w:rsid w:val="30BF1A17"/>
    <w:rsid w:val="310772F1"/>
    <w:rsid w:val="31193B9A"/>
    <w:rsid w:val="31250DC0"/>
    <w:rsid w:val="313C0893"/>
    <w:rsid w:val="31995014"/>
    <w:rsid w:val="31BD5AC5"/>
    <w:rsid w:val="322E4471"/>
    <w:rsid w:val="32764039"/>
    <w:rsid w:val="328056EA"/>
    <w:rsid w:val="32864158"/>
    <w:rsid w:val="32F34E28"/>
    <w:rsid w:val="333A1E43"/>
    <w:rsid w:val="335D58E1"/>
    <w:rsid w:val="33616834"/>
    <w:rsid w:val="34230740"/>
    <w:rsid w:val="3428432B"/>
    <w:rsid w:val="344830F1"/>
    <w:rsid w:val="34AE7AC1"/>
    <w:rsid w:val="360540B0"/>
    <w:rsid w:val="360F5600"/>
    <w:rsid w:val="364513DD"/>
    <w:rsid w:val="36D2020D"/>
    <w:rsid w:val="36E718BE"/>
    <w:rsid w:val="36F31A8E"/>
    <w:rsid w:val="37126444"/>
    <w:rsid w:val="37520B51"/>
    <w:rsid w:val="3787651E"/>
    <w:rsid w:val="37A36462"/>
    <w:rsid w:val="37C00683"/>
    <w:rsid w:val="37EA0E14"/>
    <w:rsid w:val="38132DAC"/>
    <w:rsid w:val="381A1315"/>
    <w:rsid w:val="398B709C"/>
    <w:rsid w:val="39AB3F0E"/>
    <w:rsid w:val="39C449D7"/>
    <w:rsid w:val="39D211C1"/>
    <w:rsid w:val="39DB3301"/>
    <w:rsid w:val="3A5A34DF"/>
    <w:rsid w:val="3B5971AA"/>
    <w:rsid w:val="3B821D95"/>
    <w:rsid w:val="3B9E0024"/>
    <w:rsid w:val="3BC041C5"/>
    <w:rsid w:val="3C240635"/>
    <w:rsid w:val="3C764691"/>
    <w:rsid w:val="3C8B037B"/>
    <w:rsid w:val="3D4319D8"/>
    <w:rsid w:val="3D7E16CE"/>
    <w:rsid w:val="3D9C1D18"/>
    <w:rsid w:val="3DAA785A"/>
    <w:rsid w:val="3DBD2BC3"/>
    <w:rsid w:val="3E304CB2"/>
    <w:rsid w:val="3EC77A53"/>
    <w:rsid w:val="3ED55829"/>
    <w:rsid w:val="3F04605B"/>
    <w:rsid w:val="3FB21E30"/>
    <w:rsid w:val="3FBE55CE"/>
    <w:rsid w:val="3FF84464"/>
    <w:rsid w:val="40BC7508"/>
    <w:rsid w:val="40EE7DC5"/>
    <w:rsid w:val="41200412"/>
    <w:rsid w:val="41D751EA"/>
    <w:rsid w:val="423E64FA"/>
    <w:rsid w:val="42B80050"/>
    <w:rsid w:val="4318323C"/>
    <w:rsid w:val="43774F60"/>
    <w:rsid w:val="43A657B0"/>
    <w:rsid w:val="43C17583"/>
    <w:rsid w:val="43C42D06"/>
    <w:rsid w:val="43E30915"/>
    <w:rsid w:val="44E0682E"/>
    <w:rsid w:val="450405FF"/>
    <w:rsid w:val="45251224"/>
    <w:rsid w:val="45C6331F"/>
    <w:rsid w:val="45F45358"/>
    <w:rsid w:val="46071D2F"/>
    <w:rsid w:val="460A43AA"/>
    <w:rsid w:val="464C3AC3"/>
    <w:rsid w:val="465D5585"/>
    <w:rsid w:val="46620B5A"/>
    <w:rsid w:val="4696760F"/>
    <w:rsid w:val="46FC4929"/>
    <w:rsid w:val="47792850"/>
    <w:rsid w:val="478A55D7"/>
    <w:rsid w:val="47A54B48"/>
    <w:rsid w:val="47F77EFB"/>
    <w:rsid w:val="48825A4E"/>
    <w:rsid w:val="48C472BC"/>
    <w:rsid w:val="48DD2446"/>
    <w:rsid w:val="48EC0F8F"/>
    <w:rsid w:val="49002A04"/>
    <w:rsid w:val="490A3400"/>
    <w:rsid w:val="494F1CA4"/>
    <w:rsid w:val="49B44C24"/>
    <w:rsid w:val="4B88588A"/>
    <w:rsid w:val="4BA314BB"/>
    <w:rsid w:val="4C247EA2"/>
    <w:rsid w:val="4C497E4C"/>
    <w:rsid w:val="4C737408"/>
    <w:rsid w:val="4C99118B"/>
    <w:rsid w:val="4D3C4FD6"/>
    <w:rsid w:val="4D875E7F"/>
    <w:rsid w:val="4DC355F7"/>
    <w:rsid w:val="4E3A7E2F"/>
    <w:rsid w:val="4E430CCB"/>
    <w:rsid w:val="4F1A2025"/>
    <w:rsid w:val="4F974CC9"/>
    <w:rsid w:val="4F9D7927"/>
    <w:rsid w:val="4F9E262E"/>
    <w:rsid w:val="501A481E"/>
    <w:rsid w:val="506416A3"/>
    <w:rsid w:val="50F13478"/>
    <w:rsid w:val="51A056B8"/>
    <w:rsid w:val="51B96B5A"/>
    <w:rsid w:val="51F8507C"/>
    <w:rsid w:val="52083DA0"/>
    <w:rsid w:val="52524C5C"/>
    <w:rsid w:val="5259475E"/>
    <w:rsid w:val="52BB5DA9"/>
    <w:rsid w:val="533A3C29"/>
    <w:rsid w:val="5354561B"/>
    <w:rsid w:val="536354AB"/>
    <w:rsid w:val="5394410F"/>
    <w:rsid w:val="53C80FB5"/>
    <w:rsid w:val="54261336"/>
    <w:rsid w:val="54A83C4E"/>
    <w:rsid w:val="54CC5644"/>
    <w:rsid w:val="54F945D1"/>
    <w:rsid w:val="5505512B"/>
    <w:rsid w:val="553856A3"/>
    <w:rsid w:val="55D26906"/>
    <w:rsid w:val="56A5519D"/>
    <w:rsid w:val="56FF4950"/>
    <w:rsid w:val="57315A50"/>
    <w:rsid w:val="57616C77"/>
    <w:rsid w:val="578A5331"/>
    <w:rsid w:val="57D221DB"/>
    <w:rsid w:val="57D25FC7"/>
    <w:rsid w:val="58BA1433"/>
    <w:rsid w:val="58C6611D"/>
    <w:rsid w:val="5961352D"/>
    <w:rsid w:val="59666DB4"/>
    <w:rsid w:val="5973626E"/>
    <w:rsid w:val="59EF0301"/>
    <w:rsid w:val="5A9B0C76"/>
    <w:rsid w:val="5ABD6DB3"/>
    <w:rsid w:val="5AC4239B"/>
    <w:rsid w:val="5B68514A"/>
    <w:rsid w:val="5B7B7C21"/>
    <w:rsid w:val="5C2715B3"/>
    <w:rsid w:val="5C48006F"/>
    <w:rsid w:val="5C7E084D"/>
    <w:rsid w:val="5CB44F8A"/>
    <w:rsid w:val="5CB566DB"/>
    <w:rsid w:val="5D5605BD"/>
    <w:rsid w:val="5D5D1301"/>
    <w:rsid w:val="5D7C6898"/>
    <w:rsid w:val="5DC04311"/>
    <w:rsid w:val="5E8D3F67"/>
    <w:rsid w:val="5EA475BD"/>
    <w:rsid w:val="5ECA1099"/>
    <w:rsid w:val="5F565228"/>
    <w:rsid w:val="5FD73E12"/>
    <w:rsid w:val="6050557D"/>
    <w:rsid w:val="60690408"/>
    <w:rsid w:val="60BB48E8"/>
    <w:rsid w:val="611413B2"/>
    <w:rsid w:val="623E69B9"/>
    <w:rsid w:val="62C75838"/>
    <w:rsid w:val="62D70B99"/>
    <w:rsid w:val="62FD6D7D"/>
    <w:rsid w:val="630B7270"/>
    <w:rsid w:val="63B86C2C"/>
    <w:rsid w:val="63F1319C"/>
    <w:rsid w:val="642F69FC"/>
    <w:rsid w:val="64341F5A"/>
    <w:rsid w:val="6518593F"/>
    <w:rsid w:val="65326EC2"/>
    <w:rsid w:val="65AB27CD"/>
    <w:rsid w:val="664961D0"/>
    <w:rsid w:val="667B437A"/>
    <w:rsid w:val="66C46627"/>
    <w:rsid w:val="66D4628D"/>
    <w:rsid w:val="6735466C"/>
    <w:rsid w:val="67A16662"/>
    <w:rsid w:val="694369DE"/>
    <w:rsid w:val="696543EB"/>
    <w:rsid w:val="69BD7430"/>
    <w:rsid w:val="69C9741B"/>
    <w:rsid w:val="69F7470F"/>
    <w:rsid w:val="6A0E5F0A"/>
    <w:rsid w:val="6A3679BF"/>
    <w:rsid w:val="6A5D658E"/>
    <w:rsid w:val="6A5E7748"/>
    <w:rsid w:val="6AD158A6"/>
    <w:rsid w:val="6AD62436"/>
    <w:rsid w:val="6B022A59"/>
    <w:rsid w:val="6B3E720B"/>
    <w:rsid w:val="6C0F65C8"/>
    <w:rsid w:val="6C1E7FA3"/>
    <w:rsid w:val="6C411F5C"/>
    <w:rsid w:val="6C9F3ECA"/>
    <w:rsid w:val="6CDE1743"/>
    <w:rsid w:val="6CF124D5"/>
    <w:rsid w:val="6DDC7A96"/>
    <w:rsid w:val="6DE25665"/>
    <w:rsid w:val="6E4E3A89"/>
    <w:rsid w:val="6E5C00DC"/>
    <w:rsid w:val="6F8D7CBD"/>
    <w:rsid w:val="6FA960D7"/>
    <w:rsid w:val="6FA967C6"/>
    <w:rsid w:val="6FDE592D"/>
    <w:rsid w:val="70162C72"/>
    <w:rsid w:val="702E7B7E"/>
    <w:rsid w:val="708B263C"/>
    <w:rsid w:val="71113A31"/>
    <w:rsid w:val="719C335E"/>
    <w:rsid w:val="71A93836"/>
    <w:rsid w:val="7222629A"/>
    <w:rsid w:val="723346F6"/>
    <w:rsid w:val="725B4941"/>
    <w:rsid w:val="72924712"/>
    <w:rsid w:val="72CF1717"/>
    <w:rsid w:val="731E7E93"/>
    <w:rsid w:val="73BC54D5"/>
    <w:rsid w:val="747D0E31"/>
    <w:rsid w:val="74940836"/>
    <w:rsid w:val="74B15274"/>
    <w:rsid w:val="74F36DAB"/>
    <w:rsid w:val="75360B2A"/>
    <w:rsid w:val="7615206F"/>
    <w:rsid w:val="76826999"/>
    <w:rsid w:val="76B46904"/>
    <w:rsid w:val="77461B55"/>
    <w:rsid w:val="774E0895"/>
    <w:rsid w:val="77DB240D"/>
    <w:rsid w:val="7854325B"/>
    <w:rsid w:val="788F7300"/>
    <w:rsid w:val="7899216E"/>
    <w:rsid w:val="78D722FD"/>
    <w:rsid w:val="78E94F44"/>
    <w:rsid w:val="79206AFA"/>
    <w:rsid w:val="79722E25"/>
    <w:rsid w:val="799A7B87"/>
    <w:rsid w:val="79D61F5F"/>
    <w:rsid w:val="7A020C2B"/>
    <w:rsid w:val="7A426ED3"/>
    <w:rsid w:val="7AE54801"/>
    <w:rsid w:val="7B2B5EF8"/>
    <w:rsid w:val="7CF43F77"/>
    <w:rsid w:val="7D2F461D"/>
    <w:rsid w:val="7D7427DF"/>
    <w:rsid w:val="7E124B25"/>
    <w:rsid w:val="7E724257"/>
    <w:rsid w:val="7E9F3E7B"/>
    <w:rsid w:val="7F7E639E"/>
    <w:rsid w:val="7F9B6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tLeast"/>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6">
    <w:name w:val="page number"/>
    <w:basedOn w:val="5"/>
    <w:qFormat/>
    <w:uiPriority w:val="0"/>
  </w:style>
  <w:style w:type="character" w:customStyle="1" w:styleId="7">
    <w:name w:val="NormalCharacter"/>
    <w:semiHidden/>
    <w:qFormat/>
    <w:uiPriority w:val="0"/>
  </w:style>
  <w:style w:type="paragraph" w:customStyle="1" w:styleId="8">
    <w:name w:val="HtmlNormal"/>
    <w:basedOn w:val="1"/>
    <w:qFormat/>
    <w:uiPriority w:val="0"/>
    <w:pPr>
      <w:widowControl/>
      <w:spacing w:before="100" w:beforeAutospacing="1" w:after="100" w:afterAutospacing="1" w:line="240" w:lineRule="auto"/>
      <w:jc w:val="left"/>
    </w:pPr>
    <w:rPr>
      <w:rFonts w:ascii="Calibri" w:hAnsi="Calibri" w:eastAsia="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2024-04-03T04:34:00Z</dcterms:created>
  <dc:creator>王晓佳:拟稿人校对</dc:creator>
  <cp:lastModifiedBy>王晓佳:拟稿人校对</cp:lastModifiedBy>
  <dcterms:modified xsi:type="dcterms:W3CDTF">2024-04-03T04:35:31Z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E40CEFF41A8E475C9D5C080CB6B6F6D6</vt:lpwstr>
  </property>
</Properties>
</file>